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72AD" w14:textId="77777777" w:rsidR="00073C42" w:rsidRDefault="00073C42" w:rsidP="00742E52">
      <w:pPr>
        <w:spacing w:line="360" w:lineRule="auto"/>
        <w:jc w:val="center"/>
        <w:rPr>
          <w:rFonts w:cs="Arial"/>
          <w:b/>
          <w:color w:val="000000" w:themeColor="text1"/>
          <w:szCs w:val="20"/>
          <w:lang w:val="sl-SI"/>
        </w:rPr>
      </w:pPr>
    </w:p>
    <w:p w14:paraId="5D9D5900" w14:textId="77777777" w:rsidR="00742E52" w:rsidRDefault="00742E52" w:rsidP="00742E52">
      <w:pPr>
        <w:spacing w:line="360" w:lineRule="auto"/>
        <w:jc w:val="center"/>
        <w:rPr>
          <w:rFonts w:cs="Arial"/>
          <w:b/>
          <w:color w:val="000000" w:themeColor="text1"/>
          <w:szCs w:val="20"/>
          <w:lang w:val="sl-SI"/>
        </w:rPr>
      </w:pPr>
    </w:p>
    <w:p w14:paraId="225FA264" w14:textId="7E1A4AE8" w:rsidR="006F310C" w:rsidRPr="00FE658E" w:rsidRDefault="003D27C1" w:rsidP="002943B6">
      <w:pPr>
        <w:spacing w:after="120" w:line="360" w:lineRule="auto"/>
        <w:jc w:val="center"/>
        <w:rPr>
          <w:rFonts w:cs="Arial"/>
          <w:b/>
          <w:color w:val="000000" w:themeColor="text1"/>
          <w:szCs w:val="20"/>
          <w:lang w:val="sl-SI"/>
        </w:rPr>
      </w:pPr>
      <w:r w:rsidRPr="00FE658E">
        <w:rPr>
          <w:rFonts w:cs="Arial"/>
          <w:b/>
          <w:color w:val="000000" w:themeColor="text1"/>
          <w:szCs w:val="20"/>
          <w:lang w:val="sl-SI"/>
        </w:rPr>
        <w:t>CIVILNO</w:t>
      </w:r>
      <w:r w:rsidR="00285BA0" w:rsidRPr="00FE658E">
        <w:rPr>
          <w:rFonts w:cs="Arial"/>
          <w:b/>
          <w:color w:val="000000" w:themeColor="text1"/>
          <w:szCs w:val="20"/>
          <w:lang w:val="sl-SI"/>
        </w:rPr>
        <w:t xml:space="preserve">PRAVNA </w:t>
      </w:r>
      <w:r w:rsidRPr="00FE658E">
        <w:rPr>
          <w:rFonts w:cs="Arial"/>
          <w:b/>
          <w:color w:val="000000" w:themeColor="text1"/>
          <w:szCs w:val="20"/>
          <w:lang w:val="sl-SI"/>
        </w:rPr>
        <w:t xml:space="preserve">SODNIŠKA </w:t>
      </w:r>
      <w:r w:rsidR="006F310C" w:rsidRPr="00FE658E">
        <w:rPr>
          <w:rFonts w:cs="Arial"/>
          <w:b/>
          <w:color w:val="000000" w:themeColor="text1"/>
          <w:szCs w:val="20"/>
          <w:lang w:val="sl-SI"/>
        </w:rPr>
        <w:t>ŠOLA 202</w:t>
      </w:r>
      <w:r w:rsidR="00EC7A71">
        <w:rPr>
          <w:rFonts w:cs="Arial"/>
          <w:b/>
          <w:color w:val="000000" w:themeColor="text1"/>
          <w:szCs w:val="20"/>
          <w:lang w:val="sl-SI"/>
        </w:rPr>
        <w:t>5</w:t>
      </w:r>
    </w:p>
    <w:p w14:paraId="48AD7B8A" w14:textId="5AB59072" w:rsidR="00356CD4" w:rsidRPr="00AF3FA0" w:rsidRDefault="00FD7283" w:rsidP="00742E52">
      <w:pPr>
        <w:spacing w:line="360" w:lineRule="auto"/>
        <w:jc w:val="center"/>
        <w:rPr>
          <w:rFonts w:cs="Arial"/>
          <w:b/>
          <w:color w:val="519DB9"/>
          <w:szCs w:val="20"/>
          <w:lang w:val="sl-SI"/>
        </w:rPr>
      </w:pPr>
      <w:bookmarkStart w:id="0" w:name="_Hlk125382951"/>
      <w:r w:rsidRPr="00AF3FA0">
        <w:rPr>
          <w:rFonts w:cs="Arial"/>
          <w:b/>
          <w:color w:val="519DB9"/>
          <w:szCs w:val="20"/>
          <w:lang w:val="sl-SI"/>
        </w:rPr>
        <w:t xml:space="preserve">5.–7. </w:t>
      </w:r>
      <w:r w:rsidR="00AF3FA0">
        <w:rPr>
          <w:rFonts w:cs="Arial"/>
          <w:b/>
          <w:color w:val="519DB9"/>
          <w:szCs w:val="20"/>
          <w:lang w:val="sl-SI"/>
        </w:rPr>
        <w:t>marec</w:t>
      </w:r>
      <w:r w:rsidR="00EC7A71" w:rsidRPr="00AF3FA0">
        <w:rPr>
          <w:rFonts w:cs="Arial"/>
          <w:b/>
          <w:color w:val="519DB9"/>
          <w:szCs w:val="20"/>
          <w:lang w:val="sl-SI"/>
        </w:rPr>
        <w:t xml:space="preserve"> </w:t>
      </w:r>
      <w:r w:rsidRPr="00AF3FA0">
        <w:rPr>
          <w:rFonts w:cs="Arial"/>
          <w:b/>
          <w:color w:val="519DB9"/>
          <w:szCs w:val="20"/>
          <w:lang w:val="sl-SI"/>
        </w:rPr>
        <w:t>20</w:t>
      </w:r>
      <w:r w:rsidR="000F5D64" w:rsidRPr="00AF3FA0">
        <w:rPr>
          <w:rFonts w:cs="Arial"/>
          <w:b/>
          <w:color w:val="519DB9"/>
          <w:szCs w:val="20"/>
          <w:lang w:val="sl-SI"/>
        </w:rPr>
        <w:t>2</w:t>
      </w:r>
      <w:r w:rsidRPr="00AF3FA0">
        <w:rPr>
          <w:rFonts w:cs="Arial"/>
          <w:b/>
          <w:color w:val="519DB9"/>
          <w:szCs w:val="20"/>
          <w:lang w:val="sl-SI"/>
        </w:rPr>
        <w:t>5</w:t>
      </w:r>
    </w:p>
    <w:p w14:paraId="062C5247" w14:textId="7936E60C" w:rsidR="006F310C" w:rsidRPr="00AF3FA0" w:rsidRDefault="003D27C1" w:rsidP="00742E52">
      <w:pPr>
        <w:spacing w:line="360" w:lineRule="auto"/>
        <w:jc w:val="center"/>
        <w:rPr>
          <w:rFonts w:cs="Arial"/>
          <w:b/>
          <w:color w:val="519DB9"/>
          <w:szCs w:val="20"/>
          <w:lang w:val="sl-SI"/>
        </w:rPr>
      </w:pPr>
      <w:r w:rsidRPr="00AF3FA0">
        <w:rPr>
          <w:rFonts w:cs="Arial"/>
          <w:b/>
          <w:color w:val="519DB9"/>
          <w:szCs w:val="20"/>
          <w:lang w:val="sl-SI"/>
        </w:rPr>
        <w:t>(</w:t>
      </w:r>
      <w:r w:rsidR="008462AD" w:rsidRPr="00AF3FA0">
        <w:rPr>
          <w:rFonts w:cs="Arial"/>
          <w:b/>
          <w:color w:val="519DB9"/>
          <w:szCs w:val="20"/>
          <w:lang w:val="sl-SI"/>
        </w:rPr>
        <w:t>prva izvedba</w:t>
      </w:r>
      <w:r w:rsidRPr="00AF3FA0">
        <w:rPr>
          <w:rFonts w:cs="Arial"/>
          <w:b/>
          <w:color w:val="519DB9"/>
          <w:szCs w:val="20"/>
          <w:lang w:val="sl-SI"/>
        </w:rPr>
        <w:t>)</w:t>
      </w:r>
    </w:p>
    <w:bookmarkEnd w:id="0"/>
    <w:p w14:paraId="313D3393" w14:textId="17F21259" w:rsidR="00FE0089" w:rsidRPr="00ED5D74" w:rsidRDefault="00311C3E" w:rsidP="002943B6">
      <w:pPr>
        <w:spacing w:before="120" w:line="360" w:lineRule="auto"/>
        <w:jc w:val="center"/>
        <w:rPr>
          <w:rFonts w:cs="Arial"/>
          <w:b/>
          <w:szCs w:val="20"/>
          <w:lang w:val="sl-SI"/>
        </w:rPr>
      </w:pPr>
      <w:r w:rsidRPr="00ED5D74">
        <w:rPr>
          <w:rFonts w:cs="Arial"/>
          <w:b/>
          <w:szCs w:val="20"/>
          <w:lang w:val="sl-SI"/>
        </w:rPr>
        <w:t>Grand Hotel Bernardin Portorož</w:t>
      </w:r>
    </w:p>
    <w:p w14:paraId="04359DE3" w14:textId="77777777" w:rsidR="00311C3E" w:rsidRPr="00311C3E" w:rsidRDefault="00311C3E" w:rsidP="00742E52">
      <w:pPr>
        <w:spacing w:line="360" w:lineRule="auto"/>
        <w:jc w:val="center"/>
        <w:rPr>
          <w:rFonts w:cs="Arial"/>
          <w:b/>
          <w:color w:val="4472C4" w:themeColor="accent1"/>
          <w:szCs w:val="20"/>
          <w:lang w:val="sl-SI"/>
        </w:rPr>
      </w:pPr>
    </w:p>
    <w:p w14:paraId="2A8FB1B2" w14:textId="196B744B" w:rsidR="006F310C" w:rsidRPr="00233D7A" w:rsidRDefault="00285BA0" w:rsidP="00742E52">
      <w:pPr>
        <w:spacing w:line="360" w:lineRule="auto"/>
        <w:jc w:val="center"/>
        <w:rPr>
          <w:rFonts w:cs="Arial"/>
          <w:b/>
          <w:szCs w:val="20"/>
          <w:lang w:val="sl-SI"/>
        </w:rPr>
      </w:pPr>
      <w:r w:rsidRPr="00233D7A">
        <w:rPr>
          <w:rFonts w:cs="Arial"/>
          <w:b/>
          <w:szCs w:val="20"/>
          <w:lang w:val="sl-SI"/>
        </w:rPr>
        <w:t>PROGRAM</w:t>
      </w:r>
    </w:p>
    <w:p w14:paraId="6919F796" w14:textId="77777777" w:rsidR="00AD1B50" w:rsidRPr="00FE658E" w:rsidRDefault="00AD1B50" w:rsidP="00742E52">
      <w:pPr>
        <w:spacing w:line="240" w:lineRule="atLeast"/>
        <w:jc w:val="center"/>
        <w:rPr>
          <w:rFonts w:cs="Arial"/>
          <w:b/>
          <w:color w:val="000000" w:themeColor="text1"/>
          <w:szCs w:val="20"/>
          <w:lang w:val="sl-SI"/>
        </w:rPr>
      </w:pPr>
    </w:p>
    <w:p w14:paraId="2DF6ED69" w14:textId="77777777" w:rsidR="002943B6" w:rsidRDefault="002943B6" w:rsidP="00AF3FA0">
      <w:pPr>
        <w:pBdr>
          <w:top w:val="single" w:sz="8" w:space="0" w:color="auto"/>
          <w:bottom w:val="single" w:sz="8" w:space="1" w:color="auto"/>
        </w:pBdr>
        <w:spacing w:line="240" w:lineRule="atLeast"/>
        <w:jc w:val="center"/>
        <w:rPr>
          <w:rFonts w:cs="Arial"/>
          <w:b/>
          <w:color w:val="000000" w:themeColor="text1"/>
          <w:szCs w:val="20"/>
          <w:lang w:val="sl-SI"/>
        </w:rPr>
      </w:pPr>
    </w:p>
    <w:p w14:paraId="12A947B8" w14:textId="22CD02F3" w:rsidR="00AD1B50" w:rsidRDefault="006F310C" w:rsidP="00AF3FA0">
      <w:pPr>
        <w:pBdr>
          <w:top w:val="single" w:sz="8" w:space="0" w:color="auto"/>
          <w:bottom w:val="single" w:sz="8" w:space="1" w:color="auto"/>
        </w:pBdr>
        <w:spacing w:after="120" w:line="240" w:lineRule="atLeast"/>
        <w:jc w:val="center"/>
        <w:rPr>
          <w:rFonts w:cs="Arial"/>
          <w:b/>
          <w:color w:val="000000" w:themeColor="text1"/>
          <w:szCs w:val="20"/>
          <w:lang w:val="sl-SI"/>
        </w:rPr>
      </w:pPr>
      <w:r w:rsidRPr="00FE658E">
        <w:rPr>
          <w:rFonts w:cs="Arial"/>
          <w:b/>
          <w:color w:val="000000" w:themeColor="text1"/>
          <w:szCs w:val="20"/>
          <w:lang w:val="sl-SI"/>
        </w:rPr>
        <w:t>Vodj</w:t>
      </w:r>
      <w:r w:rsidR="000932E0" w:rsidRPr="00FE658E">
        <w:rPr>
          <w:rFonts w:cs="Arial"/>
          <w:b/>
          <w:color w:val="000000" w:themeColor="text1"/>
          <w:szCs w:val="20"/>
          <w:lang w:val="sl-SI"/>
        </w:rPr>
        <w:t>a</w:t>
      </w:r>
      <w:r w:rsidRPr="00FE658E">
        <w:rPr>
          <w:rFonts w:cs="Arial"/>
          <w:b/>
          <w:color w:val="000000" w:themeColor="text1"/>
          <w:szCs w:val="20"/>
          <w:lang w:val="sl-SI"/>
        </w:rPr>
        <w:t xml:space="preserve"> šole</w:t>
      </w:r>
    </w:p>
    <w:p w14:paraId="327AFCD0" w14:textId="6FBF4DE6" w:rsidR="007525E6" w:rsidRPr="00AF3FA0" w:rsidRDefault="007525E6" w:rsidP="00AF3FA0">
      <w:pPr>
        <w:pBdr>
          <w:top w:val="single" w:sz="8" w:space="0" w:color="auto"/>
          <w:bottom w:val="single" w:sz="8" w:space="1" w:color="auto"/>
        </w:pBdr>
        <w:spacing w:line="240" w:lineRule="atLeast"/>
        <w:jc w:val="center"/>
        <w:rPr>
          <w:rFonts w:eastAsiaTheme="minorHAnsi" w:cs="Arial"/>
          <w:b/>
          <w:bCs/>
          <w:color w:val="519DB9"/>
          <w:szCs w:val="20"/>
          <w:lang w:val="sl-SI"/>
        </w:rPr>
      </w:pPr>
      <w:r w:rsidRPr="00AF3FA0">
        <w:rPr>
          <w:rFonts w:eastAsiaTheme="minorHAnsi" w:cs="Arial"/>
          <w:b/>
          <w:bCs/>
          <w:color w:val="519DB9"/>
          <w:szCs w:val="20"/>
          <w:lang w:val="sl-SI"/>
        </w:rPr>
        <w:t xml:space="preserve">Vladimir Horvat, vrhovni sodnik, Vrhovno sodišče Republike Slovenije </w:t>
      </w:r>
    </w:p>
    <w:p w14:paraId="5B533960" w14:textId="77777777" w:rsidR="002943B6" w:rsidRPr="002943B6" w:rsidRDefault="002943B6" w:rsidP="00AF3FA0">
      <w:pPr>
        <w:pBdr>
          <w:top w:val="single" w:sz="8" w:space="0" w:color="auto"/>
          <w:bottom w:val="single" w:sz="8" w:space="1" w:color="auto"/>
        </w:pBdr>
        <w:spacing w:line="240" w:lineRule="atLeast"/>
        <w:jc w:val="center"/>
        <w:rPr>
          <w:rFonts w:eastAsiaTheme="minorHAnsi" w:cs="Arial"/>
          <w:b/>
          <w:bCs/>
          <w:color w:val="519DB9"/>
          <w:szCs w:val="20"/>
          <w:lang w:val="sl-SI"/>
        </w:rPr>
      </w:pPr>
    </w:p>
    <w:p w14:paraId="0E006FB2" w14:textId="77777777" w:rsidR="00742E52" w:rsidRDefault="00742E52" w:rsidP="00742E52">
      <w:pPr>
        <w:spacing w:line="240" w:lineRule="atLeast"/>
        <w:jc w:val="center"/>
        <w:rPr>
          <w:rFonts w:eastAsiaTheme="minorHAnsi" w:cs="Arial"/>
          <w:b/>
          <w:bCs/>
          <w:color w:val="4472C4" w:themeColor="accent1"/>
          <w:szCs w:val="20"/>
          <w:lang w:val="sl-SI"/>
        </w:rPr>
      </w:pPr>
    </w:p>
    <w:p w14:paraId="70E4A984" w14:textId="77777777" w:rsidR="00742E52" w:rsidRPr="00FE658E" w:rsidRDefault="00742E52" w:rsidP="00742E52">
      <w:pPr>
        <w:spacing w:line="240" w:lineRule="atLeast"/>
        <w:jc w:val="center"/>
        <w:rPr>
          <w:rFonts w:eastAsiaTheme="minorHAnsi" w:cs="Arial"/>
          <w:b/>
          <w:bCs/>
          <w:color w:val="4472C4" w:themeColor="accent1"/>
          <w:szCs w:val="20"/>
          <w:lang w:val="sl-SI"/>
        </w:rPr>
      </w:pPr>
    </w:p>
    <w:tbl>
      <w:tblPr>
        <w:tblStyle w:val="Tabelamrea"/>
        <w:tblW w:w="878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7224"/>
      </w:tblGrid>
      <w:tr w:rsidR="00482E08" w:rsidRPr="00A75C49" w14:paraId="126D38E4" w14:textId="77777777" w:rsidTr="000932E0">
        <w:tc>
          <w:tcPr>
            <w:tcW w:w="8789" w:type="dxa"/>
            <w:gridSpan w:val="2"/>
          </w:tcPr>
          <w:p w14:paraId="46334844" w14:textId="13C94F7E" w:rsidR="00482E08" w:rsidRPr="00AF3FA0" w:rsidRDefault="00482E08" w:rsidP="00742E52">
            <w:pPr>
              <w:tabs>
                <w:tab w:val="left" w:pos="1276"/>
              </w:tabs>
              <w:jc w:val="both"/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</w:pPr>
            <w:r w:rsidRPr="00AF3FA0"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  <w:t xml:space="preserve">Prvi dan, </w:t>
            </w:r>
            <w:r w:rsidR="00FD7283" w:rsidRPr="00AF3FA0"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  <w:t>5</w:t>
            </w:r>
            <w:r w:rsidR="00335C11" w:rsidRPr="00AF3FA0"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  <w:t>. marec 202</w:t>
            </w:r>
            <w:r w:rsidR="00EC7A71" w:rsidRPr="00AF3FA0"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  <w:t>5</w:t>
            </w:r>
            <w:r w:rsidR="00A75C49" w:rsidRPr="00AF3FA0"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  <w:t xml:space="preserve"> (sreda)</w:t>
            </w:r>
            <w:r w:rsidR="00335C11" w:rsidRPr="00AF3FA0"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  <w:t xml:space="preserve"> </w:t>
            </w:r>
          </w:p>
          <w:p w14:paraId="38684008" w14:textId="77777777" w:rsidR="00482E08" w:rsidRPr="00FE658E" w:rsidRDefault="00482E08" w:rsidP="00742E52">
            <w:pPr>
              <w:tabs>
                <w:tab w:val="left" w:pos="1276"/>
              </w:tabs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</w:p>
        </w:tc>
      </w:tr>
      <w:tr w:rsidR="00482E08" w:rsidRPr="00FE658E" w14:paraId="61B2ED99" w14:textId="77777777" w:rsidTr="006E33A7">
        <w:tc>
          <w:tcPr>
            <w:tcW w:w="1565" w:type="dxa"/>
          </w:tcPr>
          <w:p w14:paraId="032C4F55" w14:textId="7D3DFB98" w:rsidR="00482E08" w:rsidRPr="00FE658E" w:rsidRDefault="00482E08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8.</w:t>
            </w:r>
            <w:r w:rsidR="00356CD4"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30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9.</w:t>
            </w:r>
            <w:r w:rsidR="00356CD4"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30</w:t>
            </w: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 xml:space="preserve">          </w:t>
            </w:r>
          </w:p>
        </w:tc>
        <w:tc>
          <w:tcPr>
            <w:tcW w:w="7224" w:type="dxa"/>
          </w:tcPr>
          <w:p w14:paraId="55EC34D0" w14:textId="77777777" w:rsidR="00482E08" w:rsidRPr="00FE658E" w:rsidRDefault="00482E08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Registracija udeležencev</w:t>
            </w:r>
          </w:p>
        </w:tc>
      </w:tr>
      <w:tr w:rsidR="00482E08" w:rsidRPr="00FE658E" w14:paraId="300BCA67" w14:textId="77777777" w:rsidTr="006E33A7">
        <w:tc>
          <w:tcPr>
            <w:tcW w:w="1565" w:type="dxa"/>
          </w:tcPr>
          <w:p w14:paraId="2851F5DA" w14:textId="77777777" w:rsidR="00482E08" w:rsidRPr="00FE658E" w:rsidRDefault="00482E08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</w:p>
        </w:tc>
        <w:tc>
          <w:tcPr>
            <w:tcW w:w="7224" w:type="dxa"/>
          </w:tcPr>
          <w:p w14:paraId="6B517BEB" w14:textId="77777777" w:rsidR="00482E08" w:rsidRPr="00FE658E" w:rsidRDefault="00482E08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</w:p>
        </w:tc>
      </w:tr>
      <w:tr w:rsidR="00482E08" w:rsidRPr="00FE658E" w14:paraId="17E53220" w14:textId="77777777" w:rsidTr="006E33A7">
        <w:tc>
          <w:tcPr>
            <w:tcW w:w="1565" w:type="dxa"/>
          </w:tcPr>
          <w:p w14:paraId="4F6097C6" w14:textId="075CC616" w:rsidR="00482E08" w:rsidRPr="00FE658E" w:rsidRDefault="00482E08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9.</w:t>
            </w:r>
            <w:r w:rsidR="00356CD4"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30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="00356CD4"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9.45</w:t>
            </w:r>
          </w:p>
        </w:tc>
        <w:tc>
          <w:tcPr>
            <w:tcW w:w="7224" w:type="dxa"/>
          </w:tcPr>
          <w:p w14:paraId="47AB7646" w14:textId="77777777" w:rsidR="00482E08" w:rsidRPr="00FE658E" w:rsidRDefault="00482E08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b/>
                <w:color w:val="000000" w:themeColor="text1"/>
                <w:szCs w:val="20"/>
                <w:lang w:val="sl-SI" w:eastAsia="en-US"/>
              </w:rPr>
              <w:t>Uvodni nagovor</w:t>
            </w:r>
          </w:p>
        </w:tc>
      </w:tr>
      <w:tr w:rsidR="00482E08" w:rsidRPr="00FE658E" w14:paraId="789F056E" w14:textId="77777777" w:rsidTr="006E33A7">
        <w:tc>
          <w:tcPr>
            <w:tcW w:w="1565" w:type="dxa"/>
          </w:tcPr>
          <w:p w14:paraId="4EC0AF2B" w14:textId="77777777" w:rsidR="00482E08" w:rsidRPr="00FE658E" w:rsidRDefault="00482E08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510CF1A4" w14:textId="34DD188F" w:rsidR="00482E08" w:rsidRPr="00FE658E" w:rsidRDefault="00482E08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</w:tc>
      </w:tr>
      <w:tr w:rsidR="00482E08" w:rsidRPr="00EC7A71" w14:paraId="2FF29AC5" w14:textId="77777777" w:rsidTr="006E33A7">
        <w:tc>
          <w:tcPr>
            <w:tcW w:w="1565" w:type="dxa"/>
          </w:tcPr>
          <w:p w14:paraId="5861E22F" w14:textId="4D8380A6" w:rsidR="00482E08" w:rsidRPr="00FE658E" w:rsidRDefault="00356CD4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9.45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="00482E08"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10.</w:t>
            </w: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30</w:t>
            </w:r>
          </w:p>
        </w:tc>
        <w:tc>
          <w:tcPr>
            <w:tcW w:w="7224" w:type="dxa"/>
          </w:tcPr>
          <w:p w14:paraId="3E2F1983" w14:textId="57FFC95B" w:rsidR="00482E08" w:rsidRPr="00027066" w:rsidRDefault="00EC7A71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r w:rsidRPr="00027066">
              <w:rPr>
                <w:rFonts w:cs="Arial"/>
                <w:b/>
                <w:bCs/>
                <w:szCs w:val="20"/>
                <w:lang w:val="sl-SI"/>
              </w:rPr>
              <w:t>Sodniške plače – ustavnopravni vidik</w:t>
            </w:r>
          </w:p>
        </w:tc>
      </w:tr>
      <w:tr w:rsidR="00482E08" w:rsidRPr="00483D27" w14:paraId="408D39BB" w14:textId="77777777" w:rsidTr="006E33A7">
        <w:tc>
          <w:tcPr>
            <w:tcW w:w="1565" w:type="dxa"/>
          </w:tcPr>
          <w:p w14:paraId="09284BCA" w14:textId="77777777" w:rsidR="00482E08" w:rsidRPr="00FE658E" w:rsidRDefault="00482E08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</w:p>
        </w:tc>
        <w:tc>
          <w:tcPr>
            <w:tcW w:w="7224" w:type="dxa"/>
          </w:tcPr>
          <w:p w14:paraId="69F03E26" w14:textId="617CE710" w:rsidR="00482E08" w:rsidRPr="00027066" w:rsidRDefault="00620BD7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</w:pPr>
            <w:r w:rsidRPr="00027066"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  <w:t>Vladimir Horvat</w:t>
            </w:r>
            <w:r w:rsidR="00335C11" w:rsidRPr="00027066"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  <w:t xml:space="preserve">, </w:t>
            </w:r>
            <w:r w:rsidR="00335C11" w:rsidRPr="00027066">
              <w:rPr>
                <w:rFonts w:eastAsiaTheme="minorHAnsi" w:cs="Arial"/>
                <w:szCs w:val="20"/>
                <w:lang w:val="sl-SI"/>
              </w:rPr>
              <w:t>vrhovni sodnik, Vrhovno sodišče Republike Slovenije</w:t>
            </w:r>
          </w:p>
        </w:tc>
      </w:tr>
      <w:tr w:rsidR="00482E08" w:rsidRPr="00483D27" w14:paraId="7A32184D" w14:textId="77777777" w:rsidTr="006E33A7">
        <w:tc>
          <w:tcPr>
            <w:tcW w:w="1565" w:type="dxa"/>
          </w:tcPr>
          <w:p w14:paraId="04EC936E" w14:textId="77777777" w:rsidR="00482E08" w:rsidRPr="00FE658E" w:rsidRDefault="00482E08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02E083EF" w14:textId="77777777" w:rsidR="00482E08" w:rsidRPr="00FE658E" w:rsidRDefault="00482E08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</w:tr>
      <w:tr w:rsidR="002853FA" w:rsidRPr="00FE658E" w14:paraId="75B8D8FA" w14:textId="77777777" w:rsidTr="006E33A7">
        <w:tc>
          <w:tcPr>
            <w:tcW w:w="1565" w:type="dxa"/>
          </w:tcPr>
          <w:p w14:paraId="74C0B348" w14:textId="0292B595" w:rsidR="002853FA" w:rsidRPr="00FE658E" w:rsidRDefault="002853F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bookmarkStart w:id="1" w:name="_Hlk127360808"/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10.</w:t>
            </w:r>
            <w:r w:rsidR="00356CD4"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30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="00356CD4"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11.00</w:t>
            </w:r>
          </w:p>
        </w:tc>
        <w:tc>
          <w:tcPr>
            <w:tcW w:w="7224" w:type="dxa"/>
          </w:tcPr>
          <w:p w14:paraId="1FAAC79F" w14:textId="4DE1B1E2" w:rsidR="002853FA" w:rsidRPr="00FE658E" w:rsidRDefault="0004100B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i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Odmor za kavo</w:t>
            </w:r>
          </w:p>
        </w:tc>
      </w:tr>
      <w:bookmarkEnd w:id="1"/>
      <w:tr w:rsidR="002853FA" w:rsidRPr="00FE658E" w14:paraId="5424310A" w14:textId="77777777" w:rsidTr="006E33A7">
        <w:tc>
          <w:tcPr>
            <w:tcW w:w="1565" w:type="dxa"/>
          </w:tcPr>
          <w:p w14:paraId="4F68F431" w14:textId="77777777" w:rsidR="002853FA" w:rsidRPr="00FE658E" w:rsidRDefault="002853F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086CE1EF" w14:textId="28691BCB" w:rsidR="002853FA" w:rsidRPr="00FE658E" w:rsidRDefault="002853F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Cs/>
                <w:iCs/>
                <w:color w:val="000000" w:themeColor="text1"/>
                <w:szCs w:val="20"/>
                <w:lang w:val="sl-SI"/>
              </w:rPr>
            </w:pPr>
          </w:p>
        </w:tc>
      </w:tr>
      <w:tr w:rsidR="00E00071" w:rsidRPr="00FE658E" w14:paraId="395274B6" w14:textId="77777777" w:rsidTr="006E33A7">
        <w:tc>
          <w:tcPr>
            <w:tcW w:w="1565" w:type="dxa"/>
          </w:tcPr>
          <w:p w14:paraId="088B48A3" w14:textId="0BC99C31" w:rsidR="00E00071" w:rsidRPr="00FE658E" w:rsidRDefault="00E00071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  <w:bookmarkStart w:id="2" w:name="_Hlk127360817"/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11.</w:t>
            </w:r>
            <w:r w:rsidR="00356CD4"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00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12.00</w:t>
            </w:r>
          </w:p>
        </w:tc>
        <w:tc>
          <w:tcPr>
            <w:tcW w:w="7224" w:type="dxa"/>
          </w:tcPr>
          <w:p w14:paraId="626E3775" w14:textId="20CDD1E9" w:rsidR="00E00071" w:rsidRPr="00FE658E" w:rsidRDefault="00620BD7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  <w:t xml:space="preserve">O </w:t>
            </w:r>
            <w:proofErr w:type="spellStart"/>
            <w:r w:rsidRPr="00FE658E"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  <w:t>ustavnoskladni</w:t>
            </w:r>
            <w:proofErr w:type="spellEnd"/>
            <w:r w:rsidRPr="00FE658E"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  <w:t xml:space="preserve"> razlagi</w:t>
            </w:r>
          </w:p>
        </w:tc>
      </w:tr>
      <w:tr w:rsidR="00D70C76" w:rsidRPr="00821723" w14:paraId="6F43EE4A" w14:textId="77777777" w:rsidTr="006E33A7">
        <w:tc>
          <w:tcPr>
            <w:tcW w:w="1565" w:type="dxa"/>
          </w:tcPr>
          <w:p w14:paraId="2B6EB1D2" w14:textId="77777777" w:rsidR="00D70C76" w:rsidRPr="00FE658E" w:rsidRDefault="00D70C76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50A89AB5" w14:textId="309E43A6" w:rsidR="00D70C76" w:rsidRPr="00FE658E" w:rsidRDefault="00620BD7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b/>
                <w:color w:val="000000" w:themeColor="text1"/>
                <w:szCs w:val="20"/>
                <w:lang w:val="sl-SI"/>
              </w:rPr>
              <w:t>Jan Zobec</w:t>
            </w:r>
            <w:r w:rsidR="002B7023" w:rsidRPr="00EB0A65"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, </w:t>
            </w:r>
            <w:r w:rsidR="00EB0A65" w:rsidRPr="00EB0A65"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upokojen </w:t>
            </w:r>
            <w:r w:rsidR="002B7023" w:rsidRPr="00EB0A65">
              <w:rPr>
                <w:rFonts w:eastAsiaTheme="minorHAnsi" w:cs="Arial"/>
                <w:bCs/>
                <w:szCs w:val="20"/>
                <w:lang w:val="sl-SI"/>
              </w:rPr>
              <w:t>vrhovni</w:t>
            </w:r>
            <w:r w:rsidR="002B7023" w:rsidRPr="00FE658E">
              <w:rPr>
                <w:rFonts w:eastAsiaTheme="minorHAnsi" w:cs="Arial"/>
                <w:szCs w:val="20"/>
                <w:lang w:val="sl-SI"/>
              </w:rPr>
              <w:t xml:space="preserve"> sodnik</w:t>
            </w:r>
          </w:p>
        </w:tc>
      </w:tr>
      <w:bookmarkEnd w:id="2"/>
      <w:tr w:rsidR="00E00071" w:rsidRPr="00821723" w14:paraId="20FB4285" w14:textId="77777777" w:rsidTr="006E33A7">
        <w:tc>
          <w:tcPr>
            <w:tcW w:w="1565" w:type="dxa"/>
          </w:tcPr>
          <w:p w14:paraId="2057AE69" w14:textId="77777777" w:rsidR="00E00071" w:rsidRPr="00FE658E" w:rsidRDefault="00E00071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5ECAB128" w14:textId="77777777" w:rsidR="00E00071" w:rsidRPr="00FE658E" w:rsidRDefault="00E00071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</w:tc>
      </w:tr>
      <w:tr w:rsidR="00E8598E" w:rsidRPr="00821723" w14:paraId="7A7BBC3C" w14:textId="77777777" w:rsidTr="006E33A7">
        <w:tc>
          <w:tcPr>
            <w:tcW w:w="1565" w:type="dxa"/>
          </w:tcPr>
          <w:p w14:paraId="6EDB2FD1" w14:textId="67735C3B" w:rsidR="00E8598E" w:rsidRPr="00FE658E" w:rsidRDefault="00E8598E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12.00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12.45</w:t>
            </w:r>
          </w:p>
        </w:tc>
        <w:tc>
          <w:tcPr>
            <w:tcW w:w="7224" w:type="dxa"/>
          </w:tcPr>
          <w:p w14:paraId="69C660C8" w14:textId="172FD448" w:rsidR="00E8598E" w:rsidRPr="00FE658E" w:rsidRDefault="00620BD7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  <w:t xml:space="preserve">Pritožba </w:t>
            </w:r>
            <w:r w:rsidRPr="004D5AAA">
              <w:rPr>
                <w:rFonts w:cs="Arial"/>
                <w:b/>
                <w:bCs/>
                <w:szCs w:val="20"/>
                <w:lang w:val="sl-SI" w:eastAsia="en-US"/>
              </w:rPr>
              <w:t xml:space="preserve">zoper razveljavitveni sklep </w:t>
            </w:r>
            <w:r w:rsidR="005A0ACE" w:rsidRPr="004D5AAA">
              <w:rPr>
                <w:rFonts w:cs="Arial"/>
                <w:b/>
                <w:bCs/>
                <w:szCs w:val="20"/>
                <w:lang w:val="sl-SI" w:eastAsia="en-US"/>
              </w:rPr>
              <w:t>sodišča druge stopnje in kdaj opraviti pritožbeno obravnavo</w:t>
            </w:r>
          </w:p>
        </w:tc>
      </w:tr>
      <w:tr w:rsidR="00A542CD" w:rsidRPr="00483D27" w14:paraId="19C496DE" w14:textId="77777777" w:rsidTr="006E33A7">
        <w:tc>
          <w:tcPr>
            <w:tcW w:w="1565" w:type="dxa"/>
          </w:tcPr>
          <w:p w14:paraId="15DB64E0" w14:textId="77777777" w:rsidR="00A542CD" w:rsidRPr="00FE658E" w:rsidRDefault="00A542CD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1CB9AA3D" w14:textId="15E077A0" w:rsidR="00A542CD" w:rsidRPr="00FE658E" w:rsidRDefault="00A542CD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  <w:t>Mag. Nina Betetto</w:t>
            </w: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 xml:space="preserve">, </w:t>
            </w: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vrhovna sodnica, Vrhovno sodišče Republike Slovenije</w:t>
            </w:r>
          </w:p>
        </w:tc>
      </w:tr>
      <w:tr w:rsidR="00A542CD" w:rsidRPr="00483D27" w14:paraId="1D78AA85" w14:textId="77777777" w:rsidTr="006E33A7">
        <w:tc>
          <w:tcPr>
            <w:tcW w:w="1565" w:type="dxa"/>
          </w:tcPr>
          <w:p w14:paraId="77F132FE" w14:textId="77777777" w:rsidR="00A542CD" w:rsidRPr="00FE658E" w:rsidRDefault="00A542CD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7B3E3B5F" w14:textId="77777777" w:rsidR="00A542CD" w:rsidRPr="00FE658E" w:rsidRDefault="00A542CD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</w:tc>
      </w:tr>
      <w:tr w:rsidR="00A542CD" w:rsidRPr="00FE658E" w14:paraId="738BB7F2" w14:textId="77777777" w:rsidTr="006E33A7">
        <w:trPr>
          <w:trHeight w:val="80"/>
        </w:trPr>
        <w:tc>
          <w:tcPr>
            <w:tcW w:w="1565" w:type="dxa"/>
          </w:tcPr>
          <w:p w14:paraId="7B0D0A6A" w14:textId="3721C589" w:rsidR="00A542CD" w:rsidRPr="00FE658E" w:rsidRDefault="00A542CD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  <w:bookmarkStart w:id="3" w:name="_Hlk127360888"/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12.45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14.45</w:t>
            </w:r>
          </w:p>
        </w:tc>
        <w:tc>
          <w:tcPr>
            <w:tcW w:w="7224" w:type="dxa"/>
          </w:tcPr>
          <w:p w14:paraId="3E559040" w14:textId="094E911D" w:rsidR="00A542CD" w:rsidRPr="00FE658E" w:rsidRDefault="00A542CD" w:rsidP="00742E52">
            <w:pPr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Odmor za kosilo</w:t>
            </w:r>
          </w:p>
        </w:tc>
      </w:tr>
      <w:bookmarkEnd w:id="3"/>
      <w:tr w:rsidR="00A542CD" w:rsidRPr="00FE658E" w14:paraId="6E58C04F" w14:textId="77777777" w:rsidTr="006E33A7">
        <w:tc>
          <w:tcPr>
            <w:tcW w:w="1565" w:type="dxa"/>
          </w:tcPr>
          <w:p w14:paraId="521CB0CE" w14:textId="77777777" w:rsidR="00A542CD" w:rsidRPr="00FE658E" w:rsidRDefault="00A542CD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31B7AC46" w14:textId="4320D15A" w:rsidR="00A542CD" w:rsidRPr="00F20B82" w:rsidRDefault="00A542CD" w:rsidP="00742E52">
            <w:pPr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</w:tr>
      <w:tr w:rsidR="00DB3AA5" w:rsidRPr="00FD7283" w14:paraId="40228A25" w14:textId="77777777" w:rsidTr="006E33A7">
        <w:tc>
          <w:tcPr>
            <w:tcW w:w="1565" w:type="dxa"/>
          </w:tcPr>
          <w:p w14:paraId="584B1E90" w14:textId="1D8AFD40" w:rsidR="00DB3AA5" w:rsidRPr="00FE658E" w:rsidRDefault="00DB3AA5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14.45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15.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30</w:t>
            </w:r>
          </w:p>
        </w:tc>
        <w:tc>
          <w:tcPr>
            <w:tcW w:w="7224" w:type="dxa"/>
            <w:vAlign w:val="center"/>
          </w:tcPr>
          <w:p w14:paraId="54E068D5" w14:textId="1E044A35" w:rsidR="00DB3AA5" w:rsidRPr="00EB0A65" w:rsidRDefault="00DB3AA5" w:rsidP="00742E52">
            <w:pPr>
              <w:spacing w:line="260" w:lineRule="exact"/>
              <w:jc w:val="both"/>
              <w:rPr>
                <w:rFonts w:cs="Arial"/>
                <w:b/>
                <w:color w:val="FF0000"/>
                <w:szCs w:val="20"/>
                <w:lang w:val="sl-SI"/>
              </w:rPr>
            </w:pPr>
            <w:r w:rsidRPr="00EB0A65">
              <w:rPr>
                <w:rFonts w:cs="Arial"/>
                <w:b/>
                <w:color w:val="000000" w:themeColor="text1"/>
                <w:szCs w:val="20"/>
                <w:lang w:val="sl-SI"/>
              </w:rPr>
              <w:t>Regulacijske začasne odredbe</w:t>
            </w:r>
          </w:p>
        </w:tc>
      </w:tr>
      <w:tr w:rsidR="00233D7A" w:rsidRPr="00821723" w14:paraId="0FEDC525" w14:textId="77777777" w:rsidTr="006E33A7">
        <w:tc>
          <w:tcPr>
            <w:tcW w:w="1565" w:type="dxa"/>
          </w:tcPr>
          <w:p w14:paraId="4A31B86E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707D3F2E" w14:textId="16141B2A" w:rsidR="00233D7A" w:rsidRPr="00311C3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Cs/>
                <w:strike/>
                <w:color w:val="000000" w:themeColor="text1"/>
                <w:szCs w:val="20"/>
                <w:lang w:val="sl-SI"/>
              </w:rPr>
            </w:pPr>
            <w:r w:rsidRPr="00991365">
              <w:rPr>
                <w:rFonts w:cs="Arial"/>
                <w:b/>
                <w:color w:val="000000" w:themeColor="text1"/>
                <w:szCs w:val="20"/>
                <w:lang w:val="sl-SI"/>
              </w:rPr>
              <w:t>Dr. Andrej Ekart</w:t>
            </w:r>
            <w:r w:rsidRPr="00991365">
              <w:rPr>
                <w:rFonts w:cs="Arial"/>
                <w:bCs/>
                <w:color w:val="000000" w:themeColor="text1"/>
                <w:szCs w:val="20"/>
                <w:lang w:val="sl-SI"/>
              </w:rPr>
              <w:t>, višji sodnik, Višje sodišče v Mariboru</w:t>
            </w:r>
          </w:p>
        </w:tc>
      </w:tr>
      <w:tr w:rsidR="00233D7A" w:rsidRPr="00821723" w14:paraId="47599B6B" w14:textId="77777777" w:rsidTr="006E33A7">
        <w:tc>
          <w:tcPr>
            <w:tcW w:w="1565" w:type="dxa"/>
          </w:tcPr>
          <w:p w14:paraId="2393EC7A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7CE3B9BE" w14:textId="2FB0D29E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</w:tc>
      </w:tr>
      <w:tr w:rsidR="00233D7A" w:rsidRPr="001A77E9" w14:paraId="19DE8BAF" w14:textId="77777777" w:rsidTr="006E33A7">
        <w:tc>
          <w:tcPr>
            <w:tcW w:w="1565" w:type="dxa"/>
          </w:tcPr>
          <w:p w14:paraId="0A0A3ECC" w14:textId="5768A73A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15.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30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16.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15</w:t>
            </w:r>
          </w:p>
        </w:tc>
        <w:tc>
          <w:tcPr>
            <w:tcW w:w="7224" w:type="dxa"/>
            <w:vAlign w:val="center"/>
          </w:tcPr>
          <w:p w14:paraId="4617CB49" w14:textId="5ECA2325" w:rsidR="00233D7A" w:rsidRPr="00FD7283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highlight w:val="green"/>
                <w:lang w:val="sl-SI"/>
              </w:rPr>
            </w:pPr>
            <w:r w:rsidRPr="00FE658E">
              <w:rPr>
                <w:rFonts w:cs="Arial"/>
                <w:b/>
                <w:color w:val="000000" w:themeColor="text1"/>
                <w:szCs w:val="20"/>
                <w:lang w:val="sl-SI"/>
              </w:rPr>
              <w:t>Delegacija pristojnosti</w:t>
            </w:r>
          </w:p>
        </w:tc>
      </w:tr>
      <w:tr w:rsidR="00233D7A" w:rsidRPr="00821723" w14:paraId="1FE780AF" w14:textId="77777777" w:rsidTr="006E33A7">
        <w:tc>
          <w:tcPr>
            <w:tcW w:w="1565" w:type="dxa"/>
          </w:tcPr>
          <w:p w14:paraId="09A17C17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132224B9" w14:textId="75F72FE0" w:rsidR="00233D7A" w:rsidRPr="005705CA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szCs w:val="20"/>
                <w:highlight w:val="green"/>
                <w:lang w:val="sl-SI"/>
              </w:rPr>
            </w:pPr>
            <w:r w:rsidRPr="005705CA">
              <w:rPr>
                <w:rFonts w:cs="Arial"/>
                <w:b/>
                <w:szCs w:val="20"/>
                <w:lang w:val="sl-SI"/>
              </w:rPr>
              <w:t xml:space="preserve">Jure Jakšić, </w:t>
            </w:r>
            <w:r w:rsidR="005705CA" w:rsidRPr="005705CA">
              <w:rPr>
                <w:rFonts w:cs="Arial"/>
                <w:bCs/>
                <w:szCs w:val="20"/>
                <w:lang w:val="sl-SI"/>
              </w:rPr>
              <w:t>okrajni sodnik</w:t>
            </w:r>
            <w:r w:rsidRPr="005705CA">
              <w:rPr>
                <w:rFonts w:cs="Arial"/>
                <w:bCs/>
                <w:szCs w:val="20"/>
                <w:lang w:val="sl-SI"/>
              </w:rPr>
              <w:t xml:space="preserve">, </w:t>
            </w:r>
            <w:r w:rsidR="005705CA" w:rsidRPr="005705CA">
              <w:rPr>
                <w:rFonts w:cs="Arial"/>
                <w:bCs/>
                <w:szCs w:val="20"/>
                <w:lang w:val="sl-SI"/>
              </w:rPr>
              <w:t>Okrajno sodišče v Mariboru</w:t>
            </w:r>
          </w:p>
        </w:tc>
      </w:tr>
      <w:tr w:rsidR="00233D7A" w:rsidRPr="00821723" w14:paraId="29E5607C" w14:textId="77777777" w:rsidTr="006E33A7">
        <w:tc>
          <w:tcPr>
            <w:tcW w:w="1565" w:type="dxa"/>
          </w:tcPr>
          <w:p w14:paraId="207BD9C8" w14:textId="7CC3ADAF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4A5E9776" w14:textId="5FB34DFC" w:rsidR="00233D7A" w:rsidRPr="005705CA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33D7A" w:rsidRPr="00821723" w14:paraId="38551220" w14:textId="77777777" w:rsidTr="006E33A7">
        <w:tc>
          <w:tcPr>
            <w:tcW w:w="1565" w:type="dxa"/>
          </w:tcPr>
          <w:p w14:paraId="4723BCC3" w14:textId="238D2AF4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16.15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>16.45</w:t>
            </w:r>
          </w:p>
        </w:tc>
        <w:tc>
          <w:tcPr>
            <w:tcW w:w="7224" w:type="dxa"/>
            <w:vAlign w:val="center"/>
          </w:tcPr>
          <w:p w14:paraId="410D5A7C" w14:textId="3E897817" w:rsidR="00233D7A" w:rsidRPr="005705CA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szCs w:val="20"/>
                <w:lang w:val="sl-SI"/>
              </w:rPr>
            </w:pPr>
            <w:r w:rsidRPr="005705CA">
              <w:rPr>
                <w:rFonts w:cs="Arial"/>
                <w:b/>
                <w:szCs w:val="20"/>
                <w:lang w:val="sl-SI"/>
              </w:rPr>
              <w:t>Predstavitev aktualnih odločb Vrhovnega sodišča RS</w:t>
            </w:r>
          </w:p>
        </w:tc>
      </w:tr>
      <w:tr w:rsidR="00233D7A" w:rsidRPr="00821723" w14:paraId="7CA85402" w14:textId="77777777" w:rsidTr="006E33A7">
        <w:tc>
          <w:tcPr>
            <w:tcW w:w="1565" w:type="dxa"/>
          </w:tcPr>
          <w:p w14:paraId="74E773FC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6E598DF8" w14:textId="23AC5987" w:rsidR="00233D7A" w:rsidRPr="00C91780" w:rsidRDefault="00D929F5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Jan Marčič Maruško</w:t>
            </w:r>
            <w:r w:rsidR="00233D7A">
              <w:rPr>
                <w:rFonts w:cs="Arial"/>
                <w:b/>
                <w:szCs w:val="20"/>
                <w:lang w:val="sl-SI"/>
              </w:rPr>
              <w:t xml:space="preserve">, </w:t>
            </w:r>
            <w:r>
              <w:rPr>
                <w:rFonts w:cs="Arial"/>
                <w:bCs/>
                <w:szCs w:val="20"/>
                <w:lang w:val="sl-SI"/>
              </w:rPr>
              <w:t>višji pravosodni svetovalec</w:t>
            </w:r>
            <w:r w:rsidR="00233D7A" w:rsidRPr="004F5689">
              <w:rPr>
                <w:rFonts w:cs="Arial"/>
                <w:bCs/>
                <w:szCs w:val="20"/>
                <w:lang w:val="sl-SI"/>
              </w:rPr>
              <w:t xml:space="preserve">, </w:t>
            </w:r>
            <w:r w:rsidR="00233D7A" w:rsidRPr="00FE658E">
              <w:rPr>
                <w:rFonts w:cs="Arial"/>
                <w:bCs/>
                <w:color w:val="000000" w:themeColor="text1"/>
                <w:szCs w:val="20"/>
                <w:lang w:val="sl-SI"/>
              </w:rPr>
              <w:t>Vrhovno sodišče Republike Slovenije</w:t>
            </w:r>
            <w:r w:rsidR="00233D7A" w:rsidRPr="00922113">
              <w:rPr>
                <w:rFonts w:cs="Arial"/>
                <w:b/>
                <w:szCs w:val="20"/>
                <w:lang w:val="sl-SI"/>
              </w:rPr>
              <w:t xml:space="preserve"> </w:t>
            </w:r>
          </w:p>
        </w:tc>
      </w:tr>
      <w:tr w:rsidR="00233D7A" w:rsidRPr="00821723" w14:paraId="66BD011B" w14:textId="77777777" w:rsidTr="006E33A7">
        <w:tc>
          <w:tcPr>
            <w:tcW w:w="1565" w:type="dxa"/>
          </w:tcPr>
          <w:p w14:paraId="1C62EE08" w14:textId="638895C4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1A526A19" w14:textId="37704095" w:rsidR="00233D7A" w:rsidRPr="00922113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33D7A" w:rsidRPr="00243707" w14:paraId="4FCEF420" w14:textId="77777777" w:rsidTr="006E33A7">
        <w:tc>
          <w:tcPr>
            <w:tcW w:w="1565" w:type="dxa"/>
          </w:tcPr>
          <w:p w14:paraId="61A06EEC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color w:val="000000" w:themeColor="text1"/>
                <w:szCs w:val="20"/>
                <w:lang w:val="sl-SI"/>
              </w:rPr>
              <w:t>16.45</w:t>
            </w:r>
          </w:p>
        </w:tc>
        <w:tc>
          <w:tcPr>
            <w:tcW w:w="7224" w:type="dxa"/>
          </w:tcPr>
          <w:p w14:paraId="62CC39B6" w14:textId="77777777" w:rsidR="00233D7A" w:rsidRPr="006E33A7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Cs/>
                <w:szCs w:val="20"/>
                <w:lang w:val="sl-SI"/>
              </w:rPr>
            </w:pPr>
            <w:r w:rsidRPr="006E33A7">
              <w:rPr>
                <w:rFonts w:cs="Arial"/>
                <w:bCs/>
                <w:szCs w:val="20"/>
                <w:lang w:val="sl-SI"/>
              </w:rPr>
              <w:t>Zaključek prvega dne izobraževanja</w:t>
            </w:r>
          </w:p>
        </w:tc>
      </w:tr>
      <w:tr w:rsidR="00233D7A" w:rsidRPr="001A77E9" w14:paraId="76E09462" w14:textId="77777777" w:rsidTr="006E33A7">
        <w:tc>
          <w:tcPr>
            <w:tcW w:w="1565" w:type="dxa"/>
          </w:tcPr>
          <w:p w14:paraId="3C6A05A4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56E44A39" w14:textId="77777777" w:rsidR="00233D7A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  <w:p w14:paraId="759C32DA" w14:textId="77777777" w:rsidR="00742E52" w:rsidRDefault="00742E52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  <w:p w14:paraId="4A674576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</w:tc>
      </w:tr>
      <w:tr w:rsidR="00233D7A" w:rsidRPr="000F5D64" w14:paraId="68A26BD0" w14:textId="77777777" w:rsidTr="000932E0">
        <w:tc>
          <w:tcPr>
            <w:tcW w:w="8789" w:type="dxa"/>
            <w:gridSpan w:val="2"/>
          </w:tcPr>
          <w:p w14:paraId="5FD145D1" w14:textId="36CE1F99" w:rsidR="00233D7A" w:rsidRPr="00AF3FA0" w:rsidRDefault="00233D7A" w:rsidP="00742E52">
            <w:pPr>
              <w:tabs>
                <w:tab w:val="left" w:pos="1276"/>
              </w:tabs>
              <w:jc w:val="both"/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</w:pPr>
            <w:r w:rsidRPr="00AF3FA0"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  <w:lastRenderedPageBreak/>
              <w:t>Drugi dan, 6. marec 2025 (četrtek)</w:t>
            </w:r>
          </w:p>
          <w:p w14:paraId="6CB14B4B" w14:textId="7A7059D5" w:rsidR="00233D7A" w:rsidRPr="00FE658E" w:rsidRDefault="00233D7A" w:rsidP="00742E52">
            <w:pPr>
              <w:tabs>
                <w:tab w:val="left" w:pos="1276"/>
              </w:tabs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</w:p>
        </w:tc>
      </w:tr>
      <w:tr w:rsidR="00233D7A" w:rsidRPr="00FE658E" w14:paraId="4BEA3D6A" w14:textId="77777777" w:rsidTr="006E33A7">
        <w:tc>
          <w:tcPr>
            <w:tcW w:w="1565" w:type="dxa"/>
          </w:tcPr>
          <w:p w14:paraId="7BBBF66E" w14:textId="5255D62B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8.30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 xml:space="preserve">9.00          </w:t>
            </w:r>
          </w:p>
        </w:tc>
        <w:tc>
          <w:tcPr>
            <w:tcW w:w="7224" w:type="dxa"/>
          </w:tcPr>
          <w:p w14:paraId="74E9E45A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Registracija udeležencev</w:t>
            </w:r>
          </w:p>
        </w:tc>
      </w:tr>
      <w:tr w:rsidR="00233D7A" w:rsidRPr="00FE658E" w14:paraId="5B755EB9" w14:textId="77777777" w:rsidTr="006E33A7">
        <w:tc>
          <w:tcPr>
            <w:tcW w:w="1565" w:type="dxa"/>
          </w:tcPr>
          <w:p w14:paraId="3A0EF63C" w14:textId="48A133C2" w:rsidR="00233D7A" w:rsidRPr="00FE658E" w:rsidRDefault="00233D7A" w:rsidP="00E472D5">
            <w:pPr>
              <w:tabs>
                <w:tab w:val="left" w:pos="1276"/>
              </w:tabs>
              <w:spacing w:after="120"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</w:p>
        </w:tc>
        <w:tc>
          <w:tcPr>
            <w:tcW w:w="7224" w:type="dxa"/>
          </w:tcPr>
          <w:p w14:paraId="6B09364F" w14:textId="7442FAEC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</w:p>
        </w:tc>
      </w:tr>
      <w:tr w:rsidR="00233D7A" w:rsidRPr="00FE658E" w14:paraId="323F2812" w14:textId="77777777" w:rsidTr="001269ED">
        <w:tc>
          <w:tcPr>
            <w:tcW w:w="8789" w:type="dxa"/>
            <w:gridSpan w:val="2"/>
          </w:tcPr>
          <w:p w14:paraId="6FD3FA88" w14:textId="7DB24DF5" w:rsidR="00233D7A" w:rsidRPr="00FE658E" w:rsidRDefault="00233D7A" w:rsidP="002943B6">
            <w:pPr>
              <w:tabs>
                <w:tab w:val="left" w:pos="1276"/>
              </w:tabs>
              <w:spacing w:after="120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b/>
                <w:color w:val="000000" w:themeColor="text1"/>
                <w:szCs w:val="20"/>
                <w:lang w:val="sl-SI"/>
              </w:rPr>
              <w:t>SKUPNI DEL</w:t>
            </w:r>
          </w:p>
        </w:tc>
      </w:tr>
      <w:tr w:rsidR="00233D7A" w:rsidRPr="00821723" w14:paraId="4FF0D256" w14:textId="77777777" w:rsidTr="006E33A7">
        <w:tc>
          <w:tcPr>
            <w:tcW w:w="1565" w:type="dxa"/>
          </w:tcPr>
          <w:p w14:paraId="258AD3A0" w14:textId="481FCDF2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9.00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9.45</w:t>
            </w:r>
          </w:p>
        </w:tc>
        <w:tc>
          <w:tcPr>
            <w:tcW w:w="7224" w:type="dxa"/>
          </w:tcPr>
          <w:p w14:paraId="59E56216" w14:textId="01E13E30" w:rsidR="00233D7A" w:rsidRPr="00EA62D8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 w:eastAsia="en-US"/>
              </w:rPr>
            </w:pPr>
            <w:r w:rsidRPr="00EA62D8">
              <w:rPr>
                <w:rFonts w:cs="Arial"/>
                <w:b/>
                <w:color w:val="000000" w:themeColor="text1"/>
                <w:szCs w:val="20"/>
                <w:lang w:val="sl-SI" w:eastAsia="en-US"/>
              </w:rPr>
              <w:t xml:space="preserve">O pomenu </w:t>
            </w:r>
            <w:proofErr w:type="spellStart"/>
            <w:r w:rsidRPr="00EA62D8">
              <w:rPr>
                <w:rFonts w:cs="Arial"/>
                <w:b/>
                <w:color w:val="000000" w:themeColor="text1"/>
                <w:szCs w:val="20"/>
                <w:lang w:val="sl-SI" w:eastAsia="en-US"/>
              </w:rPr>
              <w:t>kavze</w:t>
            </w:r>
            <w:proofErr w:type="spellEnd"/>
            <w:r w:rsidRPr="00EA62D8">
              <w:rPr>
                <w:rFonts w:cs="Arial"/>
                <w:b/>
                <w:color w:val="000000" w:themeColor="text1"/>
                <w:szCs w:val="20"/>
                <w:lang w:val="sl-SI" w:eastAsia="en-US"/>
              </w:rPr>
              <w:t xml:space="preserve"> v civilnih sporih</w:t>
            </w:r>
          </w:p>
        </w:tc>
      </w:tr>
      <w:tr w:rsidR="00233D7A" w:rsidRPr="00821723" w14:paraId="51B237FE" w14:textId="77777777" w:rsidTr="006E33A7">
        <w:tc>
          <w:tcPr>
            <w:tcW w:w="1565" w:type="dxa"/>
          </w:tcPr>
          <w:p w14:paraId="1EF4FB45" w14:textId="0656971C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37584DEC" w14:textId="6AB94D26" w:rsidR="00233D7A" w:rsidRPr="00EA62D8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 w:eastAsia="en-US"/>
              </w:rPr>
            </w:pPr>
            <w:r w:rsidRPr="00EA62D8">
              <w:rPr>
                <w:rFonts w:cs="Arial"/>
                <w:b/>
                <w:color w:val="000000" w:themeColor="text1"/>
                <w:szCs w:val="20"/>
                <w:lang w:val="sl-SI" w:eastAsia="en-US"/>
              </w:rPr>
              <w:t xml:space="preserve">Tomaž Pavčnik, </w:t>
            </w:r>
            <w:r w:rsidRPr="00EA62D8">
              <w:rPr>
                <w:rFonts w:eastAsiaTheme="minorHAnsi" w:cs="Arial"/>
                <w:szCs w:val="20"/>
                <w:lang w:val="sl-SI"/>
              </w:rPr>
              <w:t>vrhovni sodnik, Vrhovno sodišče Republike Slovenije</w:t>
            </w:r>
          </w:p>
        </w:tc>
      </w:tr>
      <w:tr w:rsidR="00233D7A" w:rsidRPr="00821723" w14:paraId="671685E4" w14:textId="77777777" w:rsidTr="006E33A7">
        <w:tc>
          <w:tcPr>
            <w:tcW w:w="1565" w:type="dxa"/>
          </w:tcPr>
          <w:p w14:paraId="386C653E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bookmarkStart w:id="4" w:name="_Hlk127361168"/>
          </w:p>
        </w:tc>
        <w:tc>
          <w:tcPr>
            <w:tcW w:w="7224" w:type="dxa"/>
          </w:tcPr>
          <w:p w14:paraId="3174C0D5" w14:textId="77777777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</w:tr>
      <w:tr w:rsidR="00233D7A" w:rsidRPr="00821723" w14:paraId="7C886784" w14:textId="77777777" w:rsidTr="006E33A7">
        <w:tc>
          <w:tcPr>
            <w:tcW w:w="1565" w:type="dxa"/>
          </w:tcPr>
          <w:p w14:paraId="661B65DA" w14:textId="7C160C01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9.45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10.30</w:t>
            </w:r>
          </w:p>
        </w:tc>
        <w:tc>
          <w:tcPr>
            <w:tcW w:w="7224" w:type="dxa"/>
          </w:tcPr>
          <w:p w14:paraId="441F36DC" w14:textId="50257F7F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  <w:proofErr w:type="spellStart"/>
            <w:r w:rsidRPr="00F20B82">
              <w:rPr>
                <w:rFonts w:cs="Arial"/>
                <w:b/>
                <w:bCs/>
                <w:szCs w:val="20"/>
                <w:lang w:val="sl-SI"/>
              </w:rPr>
              <w:t>Kondikcijski</w:t>
            </w:r>
            <w:proofErr w:type="spellEnd"/>
            <w:r w:rsidRPr="00F20B82">
              <w:rPr>
                <w:rFonts w:cs="Arial"/>
                <w:b/>
                <w:bCs/>
                <w:szCs w:val="20"/>
                <w:lang w:val="sl-SI"/>
              </w:rPr>
              <w:t xml:space="preserve"> zahtevki v primerih ugotovljene ničnosti pogodb </w:t>
            </w:r>
          </w:p>
        </w:tc>
      </w:tr>
      <w:tr w:rsidR="00233D7A" w:rsidRPr="00821723" w14:paraId="33164C1B" w14:textId="77777777" w:rsidTr="006E33A7">
        <w:tc>
          <w:tcPr>
            <w:tcW w:w="1565" w:type="dxa"/>
          </w:tcPr>
          <w:p w14:paraId="17F82BBE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</w:p>
        </w:tc>
        <w:tc>
          <w:tcPr>
            <w:tcW w:w="7224" w:type="dxa"/>
          </w:tcPr>
          <w:p w14:paraId="26B2C402" w14:textId="2BF0D7AA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</w:pPr>
            <w:r w:rsidRPr="00F20B82"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  <w:t xml:space="preserve">Doc. dr. Karmen Lutman, </w:t>
            </w:r>
            <w:r w:rsidRPr="00F20B82">
              <w:rPr>
                <w:rFonts w:cs="Arial"/>
                <w:bCs/>
                <w:color w:val="000000" w:themeColor="text1"/>
                <w:szCs w:val="20"/>
                <w:lang w:val="sl-SI"/>
              </w:rPr>
              <w:t>Pravna fakulteta Univerze v Ljubljani</w:t>
            </w:r>
          </w:p>
        </w:tc>
      </w:tr>
      <w:tr w:rsidR="00233D7A" w:rsidRPr="00821723" w14:paraId="4158D14C" w14:textId="77777777" w:rsidTr="006E33A7">
        <w:tc>
          <w:tcPr>
            <w:tcW w:w="1565" w:type="dxa"/>
          </w:tcPr>
          <w:p w14:paraId="7972774E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3757E0D3" w14:textId="77777777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</w:tr>
      <w:tr w:rsidR="00233D7A" w:rsidRPr="00FE658E" w14:paraId="6ADCA8C7" w14:textId="77777777" w:rsidTr="006E33A7">
        <w:tc>
          <w:tcPr>
            <w:tcW w:w="1565" w:type="dxa"/>
          </w:tcPr>
          <w:p w14:paraId="7EE67DB2" w14:textId="0709F0D8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10.30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11.00</w:t>
            </w:r>
          </w:p>
        </w:tc>
        <w:tc>
          <w:tcPr>
            <w:tcW w:w="7224" w:type="dxa"/>
          </w:tcPr>
          <w:p w14:paraId="6B710BC0" w14:textId="56D7583D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Odmor za kavo</w:t>
            </w:r>
          </w:p>
        </w:tc>
      </w:tr>
      <w:tr w:rsidR="00233D7A" w:rsidRPr="00FE658E" w14:paraId="17BF2DF3" w14:textId="77777777" w:rsidTr="006E33A7">
        <w:tc>
          <w:tcPr>
            <w:tcW w:w="1565" w:type="dxa"/>
          </w:tcPr>
          <w:p w14:paraId="54C4C64B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1BF8180B" w14:textId="77777777" w:rsidR="00233D7A" w:rsidRPr="00AC76C9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bCs/>
                <w:szCs w:val="20"/>
                <w:lang w:val="sl-SI"/>
              </w:rPr>
            </w:pPr>
          </w:p>
        </w:tc>
      </w:tr>
      <w:tr w:rsidR="00233D7A" w:rsidRPr="00345E4F" w14:paraId="1E882C90" w14:textId="77777777" w:rsidTr="006E33A7">
        <w:tc>
          <w:tcPr>
            <w:tcW w:w="1565" w:type="dxa"/>
          </w:tcPr>
          <w:p w14:paraId="6827F91F" w14:textId="1A6997B0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11.00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11.45</w:t>
            </w:r>
          </w:p>
        </w:tc>
        <w:tc>
          <w:tcPr>
            <w:tcW w:w="7224" w:type="dxa"/>
          </w:tcPr>
          <w:p w14:paraId="608D0F13" w14:textId="6E6774B5" w:rsidR="00233D7A" w:rsidRPr="00AC76C9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bCs/>
                <w:szCs w:val="20"/>
                <w:lang w:val="sl-SI" w:eastAsia="en-US"/>
              </w:rPr>
            </w:pPr>
            <w:r w:rsidRPr="00AC76C9">
              <w:rPr>
                <w:rFonts w:cs="Arial"/>
                <w:b/>
                <w:szCs w:val="20"/>
                <w:lang w:val="sl-SI"/>
              </w:rPr>
              <w:t xml:space="preserve">Novejša vprašanja skupnega premoženja </w:t>
            </w:r>
          </w:p>
        </w:tc>
      </w:tr>
      <w:tr w:rsidR="00233D7A" w:rsidRPr="00821723" w14:paraId="7C0CEAC2" w14:textId="77777777" w:rsidTr="006E33A7">
        <w:tc>
          <w:tcPr>
            <w:tcW w:w="1565" w:type="dxa"/>
          </w:tcPr>
          <w:p w14:paraId="69224FED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bookmarkStart w:id="5" w:name="_Hlk125385288"/>
          </w:p>
        </w:tc>
        <w:tc>
          <w:tcPr>
            <w:tcW w:w="7224" w:type="dxa"/>
          </w:tcPr>
          <w:p w14:paraId="6461191A" w14:textId="07799422" w:rsidR="00233D7A" w:rsidRPr="00AC76C9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szCs w:val="20"/>
                <w:lang w:val="sl-SI"/>
              </w:rPr>
            </w:pPr>
            <w:r w:rsidRPr="00AC76C9">
              <w:rPr>
                <w:rFonts w:cs="Arial"/>
                <w:b/>
                <w:szCs w:val="20"/>
                <w:lang w:val="sl-SI"/>
              </w:rPr>
              <w:t xml:space="preserve">Matjaž Voglar, </w:t>
            </w:r>
            <w:r w:rsidRPr="00AC76C9">
              <w:rPr>
                <w:bCs/>
                <w:lang w:val="sl-SI"/>
              </w:rPr>
              <w:t>višji sodnik, Višje sodišče v Ljubljani</w:t>
            </w:r>
          </w:p>
        </w:tc>
      </w:tr>
      <w:bookmarkEnd w:id="5"/>
      <w:tr w:rsidR="00233D7A" w:rsidRPr="00821723" w14:paraId="42F4D784" w14:textId="77777777" w:rsidTr="006E33A7">
        <w:tc>
          <w:tcPr>
            <w:tcW w:w="1565" w:type="dxa"/>
          </w:tcPr>
          <w:p w14:paraId="7982BCE8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2796101C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</w:tr>
      <w:tr w:rsidR="00233D7A" w:rsidRPr="00C91780" w14:paraId="685DFCA3" w14:textId="77777777" w:rsidTr="006E33A7">
        <w:tc>
          <w:tcPr>
            <w:tcW w:w="1565" w:type="dxa"/>
          </w:tcPr>
          <w:p w14:paraId="44C9E133" w14:textId="2337BF81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11.45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12.30</w:t>
            </w:r>
          </w:p>
        </w:tc>
        <w:tc>
          <w:tcPr>
            <w:tcW w:w="7224" w:type="dxa"/>
          </w:tcPr>
          <w:p w14:paraId="0FD137FF" w14:textId="4C033FA5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bCs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lang w:val="sl-SI"/>
              </w:rPr>
              <w:t>Pogodbe o dosmrtnem preživljanju</w:t>
            </w:r>
          </w:p>
        </w:tc>
      </w:tr>
      <w:tr w:rsidR="00233D7A" w:rsidRPr="00821723" w14:paraId="62171DFC" w14:textId="77777777" w:rsidTr="006E33A7">
        <w:tc>
          <w:tcPr>
            <w:tcW w:w="1565" w:type="dxa"/>
          </w:tcPr>
          <w:p w14:paraId="06E934FD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3BA272B3" w14:textId="0AD7B91D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lang w:val="sl-SI"/>
              </w:rPr>
              <w:t xml:space="preserve">Mag. </w:t>
            </w:r>
            <w:r w:rsidRPr="00C91780">
              <w:rPr>
                <w:rFonts w:cs="Arial"/>
                <w:b/>
                <w:bCs/>
                <w:color w:val="000000" w:themeColor="text1"/>
                <w:szCs w:val="20"/>
                <w:lang w:val="sl-SI"/>
              </w:rPr>
              <w:t xml:space="preserve">Igor Strnad, </w:t>
            </w:r>
            <w:r w:rsidRPr="00C91780">
              <w:rPr>
                <w:rFonts w:cs="Arial"/>
                <w:color w:val="000000" w:themeColor="text1"/>
                <w:szCs w:val="20"/>
                <w:lang w:val="sl-SI"/>
              </w:rPr>
              <w:t xml:space="preserve">višji sodnik, Višje sodišče v Mariboru                              </w:t>
            </w:r>
          </w:p>
        </w:tc>
      </w:tr>
      <w:tr w:rsidR="00233D7A" w:rsidRPr="00821723" w14:paraId="09E5259A" w14:textId="77777777" w:rsidTr="006E33A7">
        <w:tc>
          <w:tcPr>
            <w:tcW w:w="1565" w:type="dxa"/>
          </w:tcPr>
          <w:p w14:paraId="16971F65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</w:p>
        </w:tc>
        <w:tc>
          <w:tcPr>
            <w:tcW w:w="7224" w:type="dxa"/>
          </w:tcPr>
          <w:p w14:paraId="3E9C368A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 w:eastAsia="en-US"/>
              </w:rPr>
            </w:pPr>
          </w:p>
        </w:tc>
      </w:tr>
      <w:tr w:rsidR="00233D7A" w:rsidRPr="00FE658E" w14:paraId="1D433C12" w14:textId="77777777" w:rsidTr="006E33A7">
        <w:tc>
          <w:tcPr>
            <w:tcW w:w="1565" w:type="dxa"/>
          </w:tcPr>
          <w:p w14:paraId="3020CFC1" w14:textId="09CE1696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12.30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14.</w:t>
            </w:r>
            <w:r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3</w:t>
            </w: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 xml:space="preserve">0    </w:t>
            </w:r>
          </w:p>
        </w:tc>
        <w:tc>
          <w:tcPr>
            <w:tcW w:w="7224" w:type="dxa"/>
          </w:tcPr>
          <w:p w14:paraId="75CEE565" w14:textId="77777777" w:rsidR="00233D7A" w:rsidRPr="00FE658E" w:rsidRDefault="00233D7A" w:rsidP="00742E52">
            <w:pPr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bCs/>
                <w:color w:val="000000" w:themeColor="text1"/>
                <w:szCs w:val="20"/>
                <w:lang w:val="sl-SI"/>
              </w:rPr>
              <w:t>Odmor za kosilo</w:t>
            </w:r>
          </w:p>
        </w:tc>
      </w:tr>
      <w:tr w:rsidR="00233D7A" w:rsidRPr="00FE658E" w14:paraId="6C5BA7C7" w14:textId="77777777" w:rsidTr="006E33A7">
        <w:tc>
          <w:tcPr>
            <w:tcW w:w="1565" w:type="dxa"/>
          </w:tcPr>
          <w:p w14:paraId="5246E0FE" w14:textId="77777777" w:rsidR="00233D7A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  <w:p w14:paraId="6D648A00" w14:textId="77777777" w:rsidR="002943B6" w:rsidRPr="00FE658E" w:rsidRDefault="002943B6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450F05BB" w14:textId="77777777" w:rsidR="00233D7A" w:rsidRPr="00FE658E" w:rsidRDefault="00233D7A" w:rsidP="00742E52">
            <w:pPr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</w:p>
        </w:tc>
      </w:tr>
      <w:bookmarkEnd w:id="4"/>
      <w:tr w:rsidR="00233D7A" w:rsidRPr="00FE658E" w14:paraId="593435BD" w14:textId="77777777" w:rsidTr="00C334C8">
        <w:tc>
          <w:tcPr>
            <w:tcW w:w="8789" w:type="dxa"/>
            <w:gridSpan w:val="2"/>
          </w:tcPr>
          <w:p w14:paraId="44097CEA" w14:textId="77777777" w:rsidR="00E472D5" w:rsidRDefault="00E472D5" w:rsidP="00742E52">
            <w:pPr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  <w:p w14:paraId="5D320392" w14:textId="4CB18C45" w:rsidR="00233D7A" w:rsidRPr="00AF3FA0" w:rsidRDefault="00AF3FA0" w:rsidP="00742E52">
            <w:pPr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0"/>
                <w:lang w:val="sl-SI"/>
              </w:rPr>
              <w:t>DEL V SEKCIJAH</w:t>
            </w:r>
          </w:p>
          <w:p w14:paraId="7644758F" w14:textId="77777777" w:rsidR="002943B6" w:rsidRDefault="002943B6" w:rsidP="00742E52">
            <w:pPr>
              <w:spacing w:line="260" w:lineRule="exact"/>
              <w:jc w:val="both"/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</w:pPr>
          </w:p>
          <w:p w14:paraId="2DF633F6" w14:textId="246DDDA1" w:rsidR="00E472D5" w:rsidRPr="00FE658E" w:rsidRDefault="00E472D5" w:rsidP="00742E52">
            <w:pPr>
              <w:spacing w:line="260" w:lineRule="exact"/>
              <w:jc w:val="both"/>
              <w:rPr>
                <w:rFonts w:cs="Arial"/>
                <w:b/>
                <w:bCs/>
                <w:color w:val="000000" w:themeColor="text1"/>
                <w:szCs w:val="20"/>
                <w:lang w:val="sl-SI" w:eastAsia="en-US"/>
              </w:rPr>
            </w:pPr>
          </w:p>
        </w:tc>
      </w:tr>
      <w:tr w:rsidR="00233D7A" w:rsidRPr="00891CB1" w14:paraId="6EAAD510" w14:textId="77777777" w:rsidTr="00617575">
        <w:tc>
          <w:tcPr>
            <w:tcW w:w="8789" w:type="dxa"/>
            <w:gridSpan w:val="2"/>
          </w:tcPr>
          <w:p w14:paraId="0C5D3444" w14:textId="2EEF2CE1" w:rsidR="00233D7A" w:rsidRPr="00AF3FA0" w:rsidRDefault="00233D7A" w:rsidP="00E472D5">
            <w:pPr>
              <w:pStyle w:val="Odstavekseznama"/>
              <w:numPr>
                <w:ilvl w:val="0"/>
                <w:numId w:val="7"/>
              </w:numPr>
              <w:spacing w:after="120" w:line="260" w:lineRule="exact"/>
              <w:ind w:left="612"/>
              <w:jc w:val="both"/>
              <w:rPr>
                <w:rFonts w:cs="Arial"/>
                <w:b/>
                <w:bCs/>
                <w:i/>
                <w:iCs/>
                <w:color w:val="000000" w:themeColor="text1"/>
                <w:szCs w:val="20"/>
                <w:lang w:val="sl-SI"/>
              </w:rPr>
            </w:pPr>
            <w:r w:rsidRPr="00AF3FA0">
              <w:rPr>
                <w:rFonts w:cs="Arial"/>
                <w:b/>
                <w:bCs/>
                <w:i/>
                <w:iCs/>
                <w:color w:val="000000" w:themeColor="text1"/>
                <w:szCs w:val="20"/>
                <w:lang w:val="sl-SI"/>
              </w:rPr>
              <w:t>NEPRAVDNA SEKCIJA</w:t>
            </w:r>
          </w:p>
        </w:tc>
      </w:tr>
      <w:tr w:rsidR="00233D7A" w:rsidRPr="00FE658E" w14:paraId="491CB71E" w14:textId="77777777" w:rsidTr="00617575">
        <w:tc>
          <w:tcPr>
            <w:tcW w:w="8789" w:type="dxa"/>
            <w:gridSpan w:val="2"/>
          </w:tcPr>
          <w:p w14:paraId="2ABCC824" w14:textId="75C050CA" w:rsidR="00233D7A" w:rsidRDefault="00233D7A" w:rsidP="00E472D5">
            <w:pPr>
              <w:spacing w:before="40"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color w:val="000000" w:themeColor="text1"/>
                <w:szCs w:val="20"/>
                <w:lang w:val="sl-SI"/>
              </w:rPr>
              <w:t xml:space="preserve">           </w:t>
            </w: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 xml:space="preserve">Vodja sekcije: </w:t>
            </w:r>
            <w:r w:rsidRPr="00F85A6C">
              <w:rPr>
                <w:rFonts w:cs="Arial"/>
                <w:color w:val="000000" w:themeColor="text1"/>
                <w:szCs w:val="20"/>
                <w:lang w:val="sl-SI"/>
              </w:rPr>
              <w:t xml:space="preserve">Vladimir Horvat, vrhovni sodnik, Vrhovno sodišče Republike Slovenije </w:t>
            </w:r>
          </w:p>
          <w:p w14:paraId="2756D456" w14:textId="77777777" w:rsidR="00233D7A" w:rsidRPr="00FE658E" w:rsidRDefault="00233D7A" w:rsidP="00742E52">
            <w:pPr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</w:tr>
      <w:tr w:rsidR="00233D7A" w:rsidRPr="00821723" w14:paraId="243EBE0B" w14:textId="77777777" w:rsidTr="006E33A7">
        <w:tc>
          <w:tcPr>
            <w:tcW w:w="1565" w:type="dxa"/>
          </w:tcPr>
          <w:p w14:paraId="6DA9C580" w14:textId="74A8C443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bookmarkStart w:id="6" w:name="_Hlk183613137"/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4.30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1</w:t>
            </w:r>
            <w:r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5.00</w:t>
            </w:r>
          </w:p>
        </w:tc>
        <w:tc>
          <w:tcPr>
            <w:tcW w:w="7224" w:type="dxa"/>
          </w:tcPr>
          <w:p w14:paraId="250AA3E8" w14:textId="301BA8C9" w:rsidR="00233D7A" w:rsidRPr="00FE658E" w:rsidRDefault="00233D7A" w:rsidP="00742E52">
            <w:pPr>
              <w:spacing w:line="260" w:lineRule="exact"/>
              <w:jc w:val="both"/>
              <w:rPr>
                <w:rFonts w:cs="Arial"/>
                <w:bCs/>
                <w:i/>
                <w:iCs/>
                <w:color w:val="000000" w:themeColor="text1"/>
                <w:szCs w:val="20"/>
                <w:lang w:val="sl-SI"/>
              </w:rPr>
            </w:pPr>
            <w:r w:rsidRPr="001357FE">
              <w:rPr>
                <w:rFonts w:cs="Arial"/>
                <w:b/>
                <w:color w:val="000000" w:themeColor="text1"/>
                <w:szCs w:val="20"/>
                <w:lang w:val="sl-SI"/>
              </w:rPr>
              <w:t>Posebnosti pritožbenega postopka v nepravdnih zadevah</w:t>
            </w:r>
          </w:p>
        </w:tc>
      </w:tr>
      <w:tr w:rsidR="00233D7A" w:rsidRPr="00821723" w14:paraId="46A41EC1" w14:textId="77777777" w:rsidTr="006E33A7">
        <w:tc>
          <w:tcPr>
            <w:tcW w:w="1565" w:type="dxa"/>
          </w:tcPr>
          <w:p w14:paraId="160D7FC5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1EEB5EE4" w14:textId="11E72758" w:rsidR="00233D7A" w:rsidRPr="00FE658E" w:rsidRDefault="00233D7A" w:rsidP="00742E52">
            <w:pPr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  <w:r w:rsidRPr="001357FE">
              <w:rPr>
                <w:rFonts w:cs="Arial"/>
                <w:b/>
                <w:color w:val="000000" w:themeColor="text1"/>
                <w:szCs w:val="20"/>
                <w:lang w:val="sl-SI"/>
              </w:rPr>
              <w:t xml:space="preserve">Katarina Parazajda, </w:t>
            </w:r>
            <w:r w:rsidRPr="001357FE">
              <w:rPr>
                <w:rFonts w:cs="Arial"/>
                <w:bCs/>
                <w:color w:val="000000" w:themeColor="text1"/>
                <w:szCs w:val="20"/>
                <w:lang w:val="sl-SI"/>
              </w:rPr>
              <w:t>vrhovna sodnica, Vrhovno sodišče Republike Slovenije</w:t>
            </w:r>
          </w:p>
        </w:tc>
      </w:tr>
      <w:tr w:rsidR="00233D7A" w:rsidRPr="00821723" w14:paraId="1B42D8B4" w14:textId="77777777" w:rsidTr="006E33A7">
        <w:tc>
          <w:tcPr>
            <w:tcW w:w="1565" w:type="dxa"/>
          </w:tcPr>
          <w:p w14:paraId="213CA85C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2F138785" w14:textId="77777777" w:rsidR="00233D7A" w:rsidRPr="00FE658E" w:rsidRDefault="00233D7A" w:rsidP="00742E52">
            <w:pPr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</w:p>
        </w:tc>
      </w:tr>
      <w:tr w:rsidR="00233D7A" w:rsidRPr="00821723" w14:paraId="6858EB87" w14:textId="77777777" w:rsidTr="006E33A7">
        <w:tc>
          <w:tcPr>
            <w:tcW w:w="1565" w:type="dxa"/>
          </w:tcPr>
          <w:p w14:paraId="6E802DA1" w14:textId="47275ACD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color w:val="000000" w:themeColor="text1"/>
                <w:szCs w:val="20"/>
                <w:lang w:val="sl-SI"/>
              </w:rPr>
              <w:t>15.00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15.30</w:t>
            </w:r>
          </w:p>
        </w:tc>
        <w:tc>
          <w:tcPr>
            <w:tcW w:w="7224" w:type="dxa"/>
          </w:tcPr>
          <w:p w14:paraId="46637B30" w14:textId="06E522EA" w:rsidR="00233D7A" w:rsidRPr="00233D7A" w:rsidRDefault="00233D7A" w:rsidP="00742E52">
            <w:pPr>
              <w:spacing w:line="260" w:lineRule="exact"/>
              <w:jc w:val="both"/>
              <w:rPr>
                <w:rFonts w:cs="Arial"/>
                <w:b/>
                <w:szCs w:val="20"/>
                <w:lang w:val="sl-SI"/>
              </w:rPr>
            </w:pPr>
            <w:r w:rsidRPr="00233D7A">
              <w:rPr>
                <w:rFonts w:cs="Arial"/>
                <w:b/>
                <w:szCs w:val="20"/>
                <w:lang w:val="sl-SI"/>
              </w:rPr>
              <w:t>Postavitev odraslih oseb pod skrbništvo</w:t>
            </w:r>
          </w:p>
          <w:p w14:paraId="7179CA75" w14:textId="553C2FEE" w:rsidR="00233D7A" w:rsidRPr="00233D7A" w:rsidRDefault="00233D7A" w:rsidP="00742E52">
            <w:pPr>
              <w:spacing w:line="260" w:lineRule="exact"/>
              <w:jc w:val="both"/>
              <w:rPr>
                <w:rFonts w:cs="Arial"/>
                <w:bCs/>
                <w:szCs w:val="20"/>
                <w:lang w:val="sl-SI"/>
              </w:rPr>
            </w:pPr>
            <w:r w:rsidRPr="00233D7A">
              <w:rPr>
                <w:rFonts w:cs="Arial"/>
                <w:b/>
                <w:szCs w:val="20"/>
                <w:lang w:val="sl-SI"/>
              </w:rPr>
              <w:t>Katja Mramor</w:t>
            </w:r>
            <w:r w:rsidRPr="00233D7A">
              <w:rPr>
                <w:rFonts w:cs="Arial"/>
                <w:bCs/>
                <w:szCs w:val="20"/>
                <w:lang w:val="sl-SI"/>
              </w:rPr>
              <w:t>, višja sodnica, Višje sodišče v Ljubljani</w:t>
            </w:r>
          </w:p>
        </w:tc>
      </w:tr>
      <w:tr w:rsidR="00233D7A" w:rsidRPr="00821723" w14:paraId="54349080" w14:textId="77777777" w:rsidTr="002661C8">
        <w:tc>
          <w:tcPr>
            <w:tcW w:w="1565" w:type="dxa"/>
          </w:tcPr>
          <w:p w14:paraId="7CC0A108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04EEB223" w14:textId="77777777" w:rsidR="00233D7A" w:rsidRPr="00233D7A" w:rsidRDefault="00233D7A" w:rsidP="00742E52">
            <w:pPr>
              <w:spacing w:line="260" w:lineRule="exact"/>
              <w:jc w:val="both"/>
              <w:rPr>
                <w:rFonts w:cs="Arial"/>
                <w:bCs/>
                <w:szCs w:val="20"/>
                <w:lang w:val="sl-SI"/>
              </w:rPr>
            </w:pPr>
          </w:p>
        </w:tc>
      </w:tr>
      <w:bookmarkEnd w:id="6"/>
      <w:tr w:rsidR="00233D7A" w:rsidRPr="00821723" w14:paraId="1B1CB101" w14:textId="77777777" w:rsidTr="002661C8">
        <w:tc>
          <w:tcPr>
            <w:tcW w:w="1565" w:type="dxa"/>
          </w:tcPr>
          <w:p w14:paraId="7F9869A5" w14:textId="0207AD3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color w:val="000000" w:themeColor="text1"/>
                <w:szCs w:val="20"/>
                <w:lang w:val="sl-SI"/>
              </w:rPr>
              <w:t>15.30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16.00</w:t>
            </w:r>
          </w:p>
        </w:tc>
        <w:tc>
          <w:tcPr>
            <w:tcW w:w="7224" w:type="dxa"/>
          </w:tcPr>
          <w:p w14:paraId="1519D568" w14:textId="58D1CEA6" w:rsidR="00233D7A" w:rsidRPr="00FE658E" w:rsidRDefault="00233D7A" w:rsidP="00742E52">
            <w:pPr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  <w:r w:rsidRPr="006D3365">
              <w:rPr>
                <w:b/>
                <w:bCs/>
                <w:lang w:val="pl-PL"/>
              </w:rPr>
              <w:t xml:space="preserve">Priznanje lastnosti stranke v nepravdnem postopku </w:t>
            </w:r>
          </w:p>
        </w:tc>
      </w:tr>
      <w:tr w:rsidR="00233D7A" w:rsidRPr="00821723" w14:paraId="1296FBE2" w14:textId="77777777" w:rsidTr="006E33A7">
        <w:tc>
          <w:tcPr>
            <w:tcW w:w="1565" w:type="dxa"/>
          </w:tcPr>
          <w:p w14:paraId="60FF37B7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3A0951E1" w14:textId="678CC389" w:rsidR="00233D7A" w:rsidRPr="00FE658E" w:rsidRDefault="00233D7A" w:rsidP="00742E52">
            <w:pPr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  <w:r w:rsidRPr="006D3365">
              <w:rPr>
                <w:b/>
                <w:bCs/>
                <w:lang w:val="pl-PL"/>
              </w:rPr>
              <w:t xml:space="preserve">Dr. Andreja Fakin, </w:t>
            </w:r>
            <w:r w:rsidRPr="006D3365">
              <w:rPr>
                <w:lang w:val="pl-PL"/>
              </w:rPr>
              <w:t>okrajna sodnica, Okrajno sodišče v Ljubljani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 </w:t>
            </w:r>
          </w:p>
        </w:tc>
      </w:tr>
      <w:tr w:rsidR="00233D7A" w:rsidRPr="00821723" w14:paraId="77448D30" w14:textId="77777777" w:rsidTr="006E33A7">
        <w:tc>
          <w:tcPr>
            <w:tcW w:w="1565" w:type="dxa"/>
          </w:tcPr>
          <w:p w14:paraId="771F5129" w14:textId="77777777" w:rsidR="00233D7A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  <w:p w14:paraId="4549CA18" w14:textId="77777777" w:rsidR="002943B6" w:rsidRPr="00FE658E" w:rsidRDefault="002943B6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3F496D98" w14:textId="77777777" w:rsidR="00233D7A" w:rsidRDefault="00233D7A" w:rsidP="00742E52">
            <w:pPr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</w:p>
          <w:p w14:paraId="7A006360" w14:textId="77777777" w:rsidR="00E472D5" w:rsidRDefault="00E472D5" w:rsidP="00742E52">
            <w:pPr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</w:p>
          <w:p w14:paraId="3ADACF04" w14:textId="77777777" w:rsidR="00E472D5" w:rsidRPr="00FE658E" w:rsidRDefault="00E472D5" w:rsidP="00742E52">
            <w:pPr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</w:p>
        </w:tc>
      </w:tr>
      <w:tr w:rsidR="00233D7A" w:rsidRPr="00FE658E" w14:paraId="6450EB76" w14:textId="77777777" w:rsidTr="00617575">
        <w:tc>
          <w:tcPr>
            <w:tcW w:w="8789" w:type="dxa"/>
            <w:gridSpan w:val="2"/>
          </w:tcPr>
          <w:p w14:paraId="1BE9683F" w14:textId="28FF8C7A" w:rsidR="00233D7A" w:rsidRPr="00AF3FA0" w:rsidRDefault="00233D7A" w:rsidP="00742E52">
            <w:pPr>
              <w:pStyle w:val="Odstavekseznama"/>
              <w:numPr>
                <w:ilvl w:val="0"/>
                <w:numId w:val="7"/>
              </w:numPr>
              <w:spacing w:line="260" w:lineRule="exact"/>
              <w:ind w:left="612"/>
              <w:jc w:val="both"/>
              <w:rPr>
                <w:rFonts w:cs="Arial"/>
                <w:b/>
                <w:bCs/>
                <w:i/>
                <w:iCs/>
                <w:color w:val="000000" w:themeColor="text1"/>
                <w:szCs w:val="20"/>
                <w:lang w:val="sl-SI"/>
              </w:rPr>
            </w:pPr>
            <w:r w:rsidRPr="00AF3FA0">
              <w:rPr>
                <w:rFonts w:cs="Arial"/>
                <w:b/>
                <w:bCs/>
                <w:i/>
                <w:iCs/>
                <w:color w:val="000000" w:themeColor="text1"/>
                <w:szCs w:val="20"/>
                <w:lang w:val="sl-SI"/>
              </w:rPr>
              <w:t>OBVLADOVANJE KONFLIKTNIH SITUACIJ</w:t>
            </w:r>
          </w:p>
        </w:tc>
      </w:tr>
      <w:tr w:rsidR="00233D7A" w:rsidRPr="00FE658E" w14:paraId="56F4D434" w14:textId="77777777" w:rsidTr="00617575">
        <w:tc>
          <w:tcPr>
            <w:tcW w:w="8789" w:type="dxa"/>
            <w:gridSpan w:val="2"/>
          </w:tcPr>
          <w:p w14:paraId="0F65FF03" w14:textId="77777777" w:rsidR="00233D7A" w:rsidRPr="00FE658E" w:rsidRDefault="00233D7A" w:rsidP="00742E52">
            <w:pPr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</w:tr>
      <w:tr w:rsidR="00233D7A" w:rsidRPr="00821723" w14:paraId="0945F03B" w14:textId="77777777" w:rsidTr="006E33A7">
        <w:tc>
          <w:tcPr>
            <w:tcW w:w="1565" w:type="dxa"/>
          </w:tcPr>
          <w:p w14:paraId="097DBEFD" w14:textId="7931C43A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color w:val="000000" w:themeColor="text1"/>
                <w:szCs w:val="20"/>
                <w:lang w:val="sl-SI"/>
              </w:rPr>
              <w:t>14.30</w:t>
            </w:r>
            <w:r w:rsidRPr="00FE658E">
              <w:rPr>
                <w:rFonts w:cs="Arial"/>
                <w:bCs/>
                <w:color w:val="000000" w:themeColor="text1"/>
                <w:szCs w:val="20"/>
                <w:lang w:val="sl-SI" w:eastAsia="en-US"/>
              </w:rPr>
              <w:t>–</w:t>
            </w: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6.00</w:t>
            </w:r>
          </w:p>
        </w:tc>
        <w:tc>
          <w:tcPr>
            <w:tcW w:w="7224" w:type="dxa"/>
          </w:tcPr>
          <w:p w14:paraId="38149932" w14:textId="76F00755" w:rsidR="00233D7A" w:rsidRPr="00345E4F" w:rsidRDefault="00233D7A" w:rsidP="00742E52">
            <w:pPr>
              <w:spacing w:line="260" w:lineRule="exact"/>
              <w:jc w:val="both"/>
              <w:rPr>
                <w:rFonts w:cs="Arial"/>
                <w:b/>
                <w:bCs/>
                <w:i/>
                <w:iCs/>
                <w:color w:val="70AD47" w:themeColor="accent6"/>
                <w:szCs w:val="20"/>
                <w:lang w:val="sl-SI"/>
              </w:rPr>
            </w:pPr>
            <w:r>
              <w:rPr>
                <w:b/>
                <w:bCs/>
                <w:lang w:val="sl-SI"/>
              </w:rPr>
              <w:t>Kraljestvo sodna dvorana ali kako (ob)vladati konfliktne situacije</w:t>
            </w:r>
            <w:r w:rsidRPr="00886EAB">
              <w:rPr>
                <w:b/>
                <w:bCs/>
                <w:lang w:val="sl-SI"/>
              </w:rPr>
              <w:t xml:space="preserve"> </w:t>
            </w:r>
          </w:p>
        </w:tc>
      </w:tr>
      <w:tr w:rsidR="00233D7A" w:rsidRPr="00886EAB" w14:paraId="7E3943FB" w14:textId="77777777" w:rsidTr="006E33A7">
        <w:tc>
          <w:tcPr>
            <w:tcW w:w="1565" w:type="dxa"/>
          </w:tcPr>
          <w:p w14:paraId="2A6A6062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4E0057E8" w14:textId="61C33DCC" w:rsidR="00233D7A" w:rsidRPr="00345E4F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70AD47" w:themeColor="accent6"/>
                <w:szCs w:val="20"/>
                <w:lang w:val="sl-SI"/>
              </w:rPr>
            </w:pPr>
            <w:r>
              <w:rPr>
                <w:b/>
                <w:bCs/>
                <w:lang w:val="pl-PL"/>
              </w:rPr>
              <w:t xml:space="preserve">Snežna Krek, </w:t>
            </w:r>
            <w:r w:rsidRPr="003B0A89">
              <w:rPr>
                <w:lang w:val="pl-PL"/>
              </w:rPr>
              <w:t>univ. dipl. psih.</w:t>
            </w:r>
            <w:r>
              <w:rPr>
                <w:b/>
                <w:bCs/>
                <w:lang w:val="pl-PL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 </w:t>
            </w:r>
          </w:p>
        </w:tc>
      </w:tr>
      <w:tr w:rsidR="00233D7A" w:rsidRPr="00886EAB" w14:paraId="0D53C1E8" w14:textId="77777777" w:rsidTr="00C334C8">
        <w:tc>
          <w:tcPr>
            <w:tcW w:w="8789" w:type="dxa"/>
            <w:gridSpan w:val="2"/>
          </w:tcPr>
          <w:p w14:paraId="672EE6A9" w14:textId="3F8FA752" w:rsidR="00233D7A" w:rsidRPr="00FE658E" w:rsidRDefault="00233D7A" w:rsidP="00742E52">
            <w:pPr>
              <w:pStyle w:val="Odstavekseznama"/>
              <w:spacing w:line="260" w:lineRule="exact"/>
              <w:ind w:left="972"/>
              <w:jc w:val="both"/>
              <w:rPr>
                <w:rFonts w:cs="Arial"/>
                <w:b/>
                <w:bCs/>
                <w:color w:val="000000" w:themeColor="text1"/>
                <w:szCs w:val="20"/>
                <w:lang w:val="sl-SI"/>
              </w:rPr>
            </w:pPr>
          </w:p>
        </w:tc>
      </w:tr>
      <w:tr w:rsidR="00233D7A" w:rsidRPr="00FE658E" w14:paraId="54639D57" w14:textId="77777777" w:rsidTr="006E33A7">
        <w:tc>
          <w:tcPr>
            <w:tcW w:w="1565" w:type="dxa"/>
          </w:tcPr>
          <w:p w14:paraId="4470524A" w14:textId="470D8310" w:rsidR="00233D7A" w:rsidRPr="00E472D5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Cs/>
                <w:szCs w:val="20"/>
                <w:lang w:val="sl-SI"/>
              </w:rPr>
            </w:pPr>
            <w:r w:rsidRPr="00E472D5">
              <w:rPr>
                <w:rFonts w:cs="Arial"/>
                <w:szCs w:val="20"/>
                <w:lang w:val="sl-SI" w:eastAsia="en-US"/>
              </w:rPr>
              <w:t>16.00</w:t>
            </w:r>
          </w:p>
        </w:tc>
        <w:tc>
          <w:tcPr>
            <w:tcW w:w="7224" w:type="dxa"/>
          </w:tcPr>
          <w:p w14:paraId="14AC2A9D" w14:textId="77777777" w:rsidR="00233D7A" w:rsidRPr="00E472D5" w:rsidRDefault="00233D7A" w:rsidP="00742E52">
            <w:pPr>
              <w:spacing w:line="260" w:lineRule="exact"/>
              <w:jc w:val="both"/>
              <w:rPr>
                <w:rFonts w:cs="Arial"/>
                <w:bCs/>
                <w:szCs w:val="20"/>
                <w:lang w:val="sl-SI"/>
              </w:rPr>
            </w:pPr>
            <w:r w:rsidRPr="00E472D5">
              <w:rPr>
                <w:rFonts w:cs="Arial"/>
                <w:bCs/>
                <w:szCs w:val="20"/>
                <w:lang w:val="sl-SI"/>
              </w:rPr>
              <w:t>Zaključek drugega dne izobraževanja</w:t>
            </w:r>
          </w:p>
          <w:p w14:paraId="29896B75" w14:textId="77777777" w:rsidR="00233D7A" w:rsidRPr="00E472D5" w:rsidRDefault="00233D7A" w:rsidP="00742E52">
            <w:pPr>
              <w:spacing w:line="260" w:lineRule="exact"/>
              <w:jc w:val="both"/>
              <w:rPr>
                <w:rFonts w:cs="Arial"/>
                <w:bCs/>
                <w:szCs w:val="20"/>
                <w:lang w:val="sl-SI"/>
              </w:rPr>
            </w:pPr>
          </w:p>
          <w:p w14:paraId="6B5048A0" w14:textId="77777777" w:rsidR="00742E52" w:rsidRPr="00E472D5" w:rsidRDefault="00742E52" w:rsidP="00742E52">
            <w:pPr>
              <w:spacing w:line="260" w:lineRule="exact"/>
              <w:jc w:val="both"/>
              <w:rPr>
                <w:rFonts w:cs="Arial"/>
                <w:bCs/>
                <w:szCs w:val="20"/>
                <w:lang w:val="sl-SI"/>
              </w:rPr>
            </w:pPr>
          </w:p>
          <w:p w14:paraId="0AC5C3AA" w14:textId="77777777" w:rsidR="00E472D5" w:rsidRDefault="00E472D5" w:rsidP="00742E52">
            <w:pPr>
              <w:spacing w:line="260" w:lineRule="exact"/>
              <w:jc w:val="both"/>
              <w:rPr>
                <w:rFonts w:cs="Arial"/>
                <w:bCs/>
                <w:szCs w:val="20"/>
                <w:lang w:val="sl-SI"/>
              </w:rPr>
            </w:pPr>
          </w:p>
          <w:p w14:paraId="2411A7EB" w14:textId="77777777" w:rsidR="00AF3FA0" w:rsidRPr="00E472D5" w:rsidRDefault="00AF3FA0" w:rsidP="00742E52">
            <w:pPr>
              <w:spacing w:line="260" w:lineRule="exact"/>
              <w:jc w:val="both"/>
              <w:rPr>
                <w:rFonts w:cs="Arial"/>
                <w:bCs/>
                <w:szCs w:val="20"/>
                <w:lang w:val="sl-SI"/>
              </w:rPr>
            </w:pPr>
          </w:p>
        </w:tc>
      </w:tr>
      <w:tr w:rsidR="00233D7A" w:rsidRPr="000F5D64" w14:paraId="16D57D6B" w14:textId="77777777" w:rsidTr="00D5146C">
        <w:tc>
          <w:tcPr>
            <w:tcW w:w="8789" w:type="dxa"/>
            <w:gridSpan w:val="2"/>
            <w:vAlign w:val="center"/>
          </w:tcPr>
          <w:p w14:paraId="224FBFBD" w14:textId="393287CC" w:rsidR="00233D7A" w:rsidRPr="00AF3FA0" w:rsidRDefault="00233D7A" w:rsidP="00742E52">
            <w:pPr>
              <w:tabs>
                <w:tab w:val="left" w:pos="1276"/>
              </w:tabs>
              <w:jc w:val="both"/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</w:pPr>
            <w:bookmarkStart w:id="7" w:name="_Hlk508201166"/>
            <w:r w:rsidRPr="00AF3FA0">
              <w:rPr>
                <w:rFonts w:cs="Arial"/>
                <w:b/>
                <w:color w:val="519DB9"/>
                <w:szCs w:val="20"/>
                <w:u w:val="single"/>
                <w:lang w:val="sl-SI" w:eastAsia="en-US"/>
              </w:rPr>
              <w:lastRenderedPageBreak/>
              <w:t>Tretji dan, 7. marec 2025 (petek)</w:t>
            </w:r>
          </w:p>
          <w:p w14:paraId="2B69D9CE" w14:textId="687B84A2" w:rsidR="00233D7A" w:rsidRPr="00E472D5" w:rsidRDefault="00233D7A" w:rsidP="00742E52">
            <w:pPr>
              <w:tabs>
                <w:tab w:val="left" w:pos="1276"/>
              </w:tabs>
              <w:jc w:val="both"/>
              <w:rPr>
                <w:rFonts w:cs="Arial"/>
                <w:color w:val="38768C"/>
                <w:szCs w:val="20"/>
                <w:lang w:val="sl-SI" w:eastAsia="en-US"/>
              </w:rPr>
            </w:pPr>
          </w:p>
        </w:tc>
      </w:tr>
      <w:tr w:rsidR="00233D7A" w:rsidRPr="00FE658E" w14:paraId="34EF2BFB" w14:textId="77777777" w:rsidTr="006E33A7">
        <w:tc>
          <w:tcPr>
            <w:tcW w:w="1565" w:type="dxa"/>
            <w:vAlign w:val="center"/>
          </w:tcPr>
          <w:p w14:paraId="17393396" w14:textId="02401BCB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8.30–9.00</w:t>
            </w:r>
          </w:p>
        </w:tc>
        <w:tc>
          <w:tcPr>
            <w:tcW w:w="7224" w:type="dxa"/>
            <w:vAlign w:val="center"/>
          </w:tcPr>
          <w:p w14:paraId="087CC070" w14:textId="64411CB9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20B82">
              <w:rPr>
                <w:rFonts w:cs="Arial"/>
                <w:color w:val="000000" w:themeColor="text1"/>
                <w:szCs w:val="20"/>
                <w:lang w:val="sl-SI"/>
              </w:rPr>
              <w:t>Registracija udeležencev</w:t>
            </w:r>
          </w:p>
        </w:tc>
      </w:tr>
      <w:tr w:rsidR="00233D7A" w:rsidRPr="00FE658E" w14:paraId="49594564" w14:textId="77777777" w:rsidTr="006E33A7">
        <w:tc>
          <w:tcPr>
            <w:tcW w:w="1565" w:type="dxa"/>
            <w:vAlign w:val="center"/>
          </w:tcPr>
          <w:p w14:paraId="4E3C8695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0303F1A0" w14:textId="77777777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</w:tc>
      </w:tr>
      <w:tr w:rsidR="00233D7A" w:rsidRPr="00FE658E" w14:paraId="5E01461A" w14:textId="77777777" w:rsidTr="006E33A7">
        <w:tc>
          <w:tcPr>
            <w:tcW w:w="1565" w:type="dxa"/>
            <w:vAlign w:val="center"/>
          </w:tcPr>
          <w:p w14:paraId="00C7E500" w14:textId="211FB731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9.00</w:t>
            </w: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–</w:t>
            </w: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9.45</w:t>
            </w:r>
          </w:p>
        </w:tc>
        <w:tc>
          <w:tcPr>
            <w:tcW w:w="7224" w:type="dxa"/>
            <w:vAlign w:val="center"/>
          </w:tcPr>
          <w:p w14:paraId="0FA8E90D" w14:textId="7DC7E2AC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F20B82">
              <w:rPr>
                <w:rFonts w:cs="Arial"/>
                <w:b/>
                <w:color w:val="000000" w:themeColor="text1"/>
                <w:szCs w:val="20"/>
                <w:lang w:val="sl-SI"/>
              </w:rPr>
              <w:t xml:space="preserve">Prednosti odprtega sojenja </w:t>
            </w:r>
          </w:p>
        </w:tc>
      </w:tr>
      <w:tr w:rsidR="00233D7A" w:rsidRPr="00821723" w14:paraId="4CEE4C17" w14:textId="77777777" w:rsidTr="006E33A7">
        <w:tc>
          <w:tcPr>
            <w:tcW w:w="1565" w:type="dxa"/>
            <w:vAlign w:val="center"/>
          </w:tcPr>
          <w:p w14:paraId="71EB497E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6A6F5A76" w14:textId="05A49B88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F20B82">
              <w:rPr>
                <w:rFonts w:cs="Arial"/>
                <w:b/>
                <w:color w:val="000000" w:themeColor="text1"/>
                <w:szCs w:val="20"/>
                <w:lang w:val="sl-SI"/>
              </w:rPr>
              <w:t>Karmen Iglič Stroligo</w:t>
            </w:r>
            <w:r w:rsidRPr="00F20B82"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,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upokojena </w:t>
            </w:r>
            <w:r w:rsidRPr="00F20B82"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vrhovna sodnica </w:t>
            </w:r>
          </w:p>
        </w:tc>
      </w:tr>
      <w:tr w:rsidR="00233D7A" w:rsidRPr="00821723" w14:paraId="51097840" w14:textId="77777777" w:rsidTr="006E33A7">
        <w:tc>
          <w:tcPr>
            <w:tcW w:w="1565" w:type="dxa"/>
            <w:vAlign w:val="center"/>
          </w:tcPr>
          <w:p w14:paraId="6CE9E56B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64133C9E" w14:textId="77777777" w:rsidR="00233D7A" w:rsidRPr="00AC76C9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33D7A" w:rsidRPr="00821723" w14:paraId="4294D3EE" w14:textId="77777777" w:rsidTr="006E33A7">
        <w:tc>
          <w:tcPr>
            <w:tcW w:w="1565" w:type="dxa"/>
            <w:vAlign w:val="center"/>
          </w:tcPr>
          <w:p w14:paraId="25DBC3F4" w14:textId="5B388EF2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9.45</w:t>
            </w: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–</w:t>
            </w: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10.30</w:t>
            </w:r>
          </w:p>
        </w:tc>
        <w:tc>
          <w:tcPr>
            <w:tcW w:w="7224" w:type="dxa"/>
          </w:tcPr>
          <w:p w14:paraId="7AF921DB" w14:textId="1D62E46A" w:rsidR="00233D7A" w:rsidRPr="00AC76C9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szCs w:val="20"/>
                <w:lang w:val="sl-SI"/>
              </w:rPr>
            </w:pPr>
            <w:r w:rsidRPr="00AC76C9">
              <w:rPr>
                <w:rFonts w:cs="Arial"/>
                <w:b/>
                <w:bCs/>
                <w:szCs w:val="20"/>
                <w:lang w:val="sl-SI" w:eastAsia="en-US"/>
              </w:rPr>
              <w:t>Vpliv digitalizacije na temeljne pravice v EU in pomen pravice do razlage</w:t>
            </w:r>
          </w:p>
        </w:tc>
      </w:tr>
      <w:tr w:rsidR="00233D7A" w:rsidRPr="00821723" w14:paraId="5F0AED17" w14:textId="77777777" w:rsidTr="006E33A7">
        <w:tc>
          <w:tcPr>
            <w:tcW w:w="1565" w:type="dxa"/>
            <w:vAlign w:val="center"/>
          </w:tcPr>
          <w:p w14:paraId="346D53E9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6138E736" w14:textId="6518C9CB" w:rsidR="00233D7A" w:rsidRPr="00AC76C9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szCs w:val="20"/>
                <w:lang w:val="sl-SI"/>
              </w:rPr>
            </w:pPr>
            <w:r w:rsidRPr="00AC76C9">
              <w:rPr>
                <w:rFonts w:cs="Arial"/>
                <w:b/>
                <w:bCs/>
                <w:szCs w:val="20"/>
                <w:lang w:val="sl-SI" w:eastAsia="en-US"/>
              </w:rPr>
              <w:t xml:space="preserve">Prof. dr. Maja Brkan, </w:t>
            </w:r>
            <w:r w:rsidRPr="00AC76C9">
              <w:rPr>
                <w:rFonts w:cs="Arial"/>
                <w:bCs/>
                <w:szCs w:val="20"/>
                <w:lang w:val="sl-SI"/>
              </w:rPr>
              <w:t xml:space="preserve">sodnica, Splošno sodišče Evropske unije </w:t>
            </w:r>
          </w:p>
        </w:tc>
      </w:tr>
      <w:tr w:rsidR="00233D7A" w:rsidRPr="00821723" w14:paraId="71DFB613" w14:textId="77777777" w:rsidTr="006E33A7">
        <w:tc>
          <w:tcPr>
            <w:tcW w:w="1565" w:type="dxa"/>
            <w:vAlign w:val="center"/>
          </w:tcPr>
          <w:p w14:paraId="71605D45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18E7060C" w14:textId="77777777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</w:tc>
      </w:tr>
      <w:tr w:rsidR="00233D7A" w:rsidRPr="00FE658E" w14:paraId="7EB12276" w14:textId="77777777" w:rsidTr="006E33A7">
        <w:tc>
          <w:tcPr>
            <w:tcW w:w="1565" w:type="dxa"/>
            <w:vAlign w:val="center"/>
          </w:tcPr>
          <w:p w14:paraId="29AAC781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10.30</w:t>
            </w: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–</w:t>
            </w: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11.00</w:t>
            </w:r>
          </w:p>
        </w:tc>
        <w:tc>
          <w:tcPr>
            <w:tcW w:w="7224" w:type="dxa"/>
            <w:vAlign w:val="center"/>
          </w:tcPr>
          <w:p w14:paraId="17B465C6" w14:textId="77777777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  <w:r w:rsidRPr="00F20B82">
              <w:rPr>
                <w:rFonts w:cs="Arial"/>
                <w:bCs/>
                <w:color w:val="000000" w:themeColor="text1"/>
                <w:szCs w:val="20"/>
                <w:lang w:val="sl-SI"/>
              </w:rPr>
              <w:t>Odmor za kavo</w:t>
            </w:r>
          </w:p>
        </w:tc>
      </w:tr>
      <w:tr w:rsidR="00233D7A" w:rsidRPr="004346E4" w14:paraId="09874716" w14:textId="77777777" w:rsidTr="006E33A7">
        <w:tc>
          <w:tcPr>
            <w:tcW w:w="1565" w:type="dxa"/>
            <w:vAlign w:val="center"/>
          </w:tcPr>
          <w:p w14:paraId="2E58EE31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24B687DF" w14:textId="77777777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</w:tc>
      </w:tr>
      <w:tr w:rsidR="00233D7A" w:rsidRPr="00821723" w14:paraId="3EAA8C8A" w14:textId="77777777" w:rsidTr="006E33A7">
        <w:tc>
          <w:tcPr>
            <w:tcW w:w="1565" w:type="dxa"/>
          </w:tcPr>
          <w:p w14:paraId="6DCCE0A3" w14:textId="0B880BE8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11.00</w:t>
            </w: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–</w:t>
            </w: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11.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45</w:t>
            </w:r>
          </w:p>
        </w:tc>
        <w:tc>
          <w:tcPr>
            <w:tcW w:w="7224" w:type="dxa"/>
          </w:tcPr>
          <w:p w14:paraId="1A761258" w14:textId="55A2C822" w:rsidR="00233D7A" w:rsidRPr="00F20B82" w:rsidRDefault="00233D7A" w:rsidP="00742E52">
            <w:pPr>
              <w:spacing w:line="260" w:lineRule="exact"/>
              <w:jc w:val="both"/>
              <w:rPr>
                <w:rFonts w:cs="Arial"/>
                <w:i/>
                <w:iCs/>
                <w:color w:val="000000" w:themeColor="text1"/>
                <w:szCs w:val="20"/>
                <w:lang w:val="sl-SI"/>
              </w:rPr>
            </w:pPr>
            <w:r w:rsidRPr="00F20B82">
              <w:rPr>
                <w:rFonts w:cs="Arial"/>
                <w:b/>
                <w:szCs w:val="20"/>
                <w:lang w:val="sl-SI"/>
              </w:rPr>
              <w:t>Predstavitev</w:t>
            </w:r>
            <w:r w:rsidRPr="00F20B82"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Pr="00F20B82">
              <w:rPr>
                <w:rFonts w:cs="Arial"/>
                <w:b/>
                <w:szCs w:val="20"/>
                <w:lang w:val="sl-SI"/>
              </w:rPr>
              <w:t xml:space="preserve">aktualnih </w:t>
            </w:r>
            <w:r w:rsidRPr="00F20B82">
              <w:rPr>
                <w:rFonts w:cs="Arial"/>
                <w:b/>
                <w:color w:val="000000" w:themeColor="text1"/>
                <w:szCs w:val="20"/>
                <w:lang w:val="sl-SI"/>
              </w:rPr>
              <w:t>odločb Sodišča Evropske unije in Evropskega sodišča za človekove pravice</w:t>
            </w:r>
            <w:r w:rsidRPr="00F20B82">
              <w:rPr>
                <w:rFonts w:cs="Arial"/>
                <w:i/>
                <w:iCs/>
                <w:color w:val="000000" w:themeColor="text1"/>
                <w:szCs w:val="20"/>
                <w:lang w:val="sl-SI"/>
              </w:rPr>
              <w:t xml:space="preserve"> </w:t>
            </w:r>
          </w:p>
        </w:tc>
      </w:tr>
      <w:tr w:rsidR="00233D7A" w:rsidRPr="00821723" w14:paraId="5F02202C" w14:textId="77777777" w:rsidTr="006E33A7">
        <w:tc>
          <w:tcPr>
            <w:tcW w:w="1565" w:type="dxa"/>
            <w:vAlign w:val="center"/>
          </w:tcPr>
          <w:p w14:paraId="6536E9D0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06B4BEA3" w14:textId="06D4266F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F20B82">
              <w:rPr>
                <w:rFonts w:cs="Arial"/>
                <w:b/>
                <w:color w:val="000000" w:themeColor="text1"/>
                <w:szCs w:val="20"/>
                <w:lang w:val="sl-SI"/>
              </w:rPr>
              <w:t>Prof. dr. Jernej Letnar Černič</w:t>
            </w:r>
            <w:r w:rsidRPr="00F20B82"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, Evropska pravna fakulteta Nove univerze </w:t>
            </w:r>
          </w:p>
        </w:tc>
      </w:tr>
      <w:tr w:rsidR="00233D7A" w:rsidRPr="00821723" w14:paraId="43F1F0A6" w14:textId="77777777" w:rsidTr="006E33A7">
        <w:tc>
          <w:tcPr>
            <w:tcW w:w="1565" w:type="dxa"/>
            <w:vAlign w:val="center"/>
          </w:tcPr>
          <w:p w14:paraId="3F160A8D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4B9F93B2" w14:textId="77777777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</w:tc>
      </w:tr>
      <w:tr w:rsidR="00233D7A" w:rsidRPr="00821723" w14:paraId="034BCFA4" w14:textId="77777777" w:rsidTr="006E33A7">
        <w:tc>
          <w:tcPr>
            <w:tcW w:w="1565" w:type="dxa"/>
            <w:vAlign w:val="center"/>
          </w:tcPr>
          <w:p w14:paraId="33A9FA1B" w14:textId="0418E4F8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11.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45</w:t>
            </w: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–</w:t>
            </w:r>
            <w:r w:rsidRPr="00FE658E">
              <w:rPr>
                <w:rFonts w:cs="Arial"/>
                <w:color w:val="000000" w:themeColor="text1"/>
                <w:szCs w:val="20"/>
                <w:lang w:val="sl-SI"/>
              </w:rPr>
              <w:t>12.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30</w:t>
            </w:r>
          </w:p>
        </w:tc>
        <w:tc>
          <w:tcPr>
            <w:tcW w:w="7224" w:type="dxa"/>
          </w:tcPr>
          <w:p w14:paraId="1AECA392" w14:textId="1163554D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F20B82">
              <w:rPr>
                <w:rFonts w:cs="Arial"/>
                <w:b/>
                <w:color w:val="000000" w:themeColor="text1"/>
                <w:szCs w:val="20"/>
                <w:lang w:val="sl-SI"/>
              </w:rPr>
              <w:t>Aktualna vprašanja pravnega prometa digitalnega premoženja</w:t>
            </w:r>
          </w:p>
        </w:tc>
      </w:tr>
      <w:tr w:rsidR="00233D7A" w:rsidRPr="00821723" w14:paraId="40D8A755" w14:textId="77777777" w:rsidTr="006E33A7">
        <w:tc>
          <w:tcPr>
            <w:tcW w:w="1565" w:type="dxa"/>
            <w:vAlign w:val="center"/>
          </w:tcPr>
          <w:p w14:paraId="0E697184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7E348B80" w14:textId="5050EE27" w:rsidR="00233D7A" w:rsidRPr="00F20B82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b/>
                <w:color w:val="000000" w:themeColor="text1"/>
                <w:szCs w:val="20"/>
                <w:lang w:val="sl-SI"/>
              </w:rPr>
              <w:t xml:space="preserve">Dr. </w:t>
            </w:r>
            <w:r w:rsidRPr="00F20B82">
              <w:rPr>
                <w:rFonts w:cs="Arial"/>
                <w:b/>
                <w:color w:val="000000" w:themeColor="text1"/>
                <w:szCs w:val="20"/>
                <w:lang w:val="sl-SI"/>
              </w:rPr>
              <w:t>Žiga Škorjanc</w:t>
            </w:r>
            <w:r w:rsidRPr="00F20B82">
              <w:rPr>
                <w:rFonts w:cs="Arial"/>
                <w:bCs/>
                <w:color w:val="000000" w:themeColor="text1"/>
                <w:szCs w:val="20"/>
                <w:lang w:val="sl-SI"/>
              </w:rPr>
              <w:t>, Univerza na Dunaju</w:t>
            </w:r>
          </w:p>
        </w:tc>
      </w:tr>
      <w:tr w:rsidR="00233D7A" w:rsidRPr="00821723" w14:paraId="1F129848" w14:textId="77777777" w:rsidTr="006E33A7">
        <w:tc>
          <w:tcPr>
            <w:tcW w:w="1565" w:type="dxa"/>
            <w:vAlign w:val="center"/>
          </w:tcPr>
          <w:p w14:paraId="56F5B0BF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2A8A84BA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</w:tc>
      </w:tr>
      <w:tr w:rsidR="00233D7A" w:rsidRPr="001565C3" w14:paraId="407F4D79" w14:textId="77777777" w:rsidTr="006E33A7">
        <w:tc>
          <w:tcPr>
            <w:tcW w:w="1565" w:type="dxa"/>
            <w:vAlign w:val="center"/>
          </w:tcPr>
          <w:p w14:paraId="2768CB4A" w14:textId="6176B0BD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color w:val="000000" w:themeColor="text1"/>
                <w:szCs w:val="20"/>
                <w:lang w:val="sl-SI"/>
              </w:rPr>
              <w:t>12.30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12.45</w:t>
            </w:r>
          </w:p>
        </w:tc>
        <w:tc>
          <w:tcPr>
            <w:tcW w:w="7224" w:type="dxa"/>
            <w:vAlign w:val="center"/>
          </w:tcPr>
          <w:p w14:paraId="7A4B9425" w14:textId="3610AB11" w:rsidR="00233D7A" w:rsidRPr="001565C3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Cs/>
                <w:color w:val="000000" w:themeColor="text1"/>
                <w:szCs w:val="20"/>
                <w:lang w:val="sl-SI"/>
              </w:rPr>
            </w:pPr>
            <w:r w:rsidRPr="001565C3">
              <w:rPr>
                <w:rFonts w:cs="Arial"/>
                <w:bCs/>
                <w:color w:val="000000" w:themeColor="text1"/>
                <w:szCs w:val="20"/>
                <w:lang w:val="sl-SI"/>
              </w:rPr>
              <w:t>Odmor</w:t>
            </w:r>
          </w:p>
        </w:tc>
      </w:tr>
      <w:tr w:rsidR="00233D7A" w:rsidRPr="001565C3" w14:paraId="6CC96FDF" w14:textId="77777777" w:rsidTr="006E33A7">
        <w:tc>
          <w:tcPr>
            <w:tcW w:w="1565" w:type="dxa"/>
            <w:vAlign w:val="center"/>
          </w:tcPr>
          <w:p w14:paraId="6ECBE283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1EBDA757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</w:tc>
      </w:tr>
      <w:tr w:rsidR="00233D7A" w:rsidRPr="00821723" w14:paraId="34379221" w14:textId="77777777" w:rsidTr="001C10A5">
        <w:tc>
          <w:tcPr>
            <w:tcW w:w="8789" w:type="dxa"/>
            <w:gridSpan w:val="2"/>
            <w:vAlign w:val="center"/>
          </w:tcPr>
          <w:p w14:paraId="117FADBC" w14:textId="77777777" w:rsidR="00E472D5" w:rsidRDefault="00E472D5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szCs w:val="20"/>
                <w:lang w:val="sl-SI" w:eastAsia="en-US"/>
              </w:rPr>
            </w:pPr>
          </w:p>
          <w:p w14:paraId="197EE583" w14:textId="6B746AB6" w:rsidR="00233D7A" w:rsidRPr="00AF3FA0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Cs/>
                <w:i/>
                <w:iCs/>
                <w:szCs w:val="20"/>
                <w:lang w:val="sl-SI"/>
              </w:rPr>
            </w:pPr>
            <w:r w:rsidRPr="00AF3FA0">
              <w:rPr>
                <w:rFonts w:cs="Arial"/>
                <w:b/>
                <w:i/>
                <w:iCs/>
                <w:szCs w:val="20"/>
                <w:lang w:val="sl-SI" w:eastAsia="en-US"/>
              </w:rPr>
              <w:t>PONOVITEV SEKCIJE OBVLADOVANJE KONFLIKTNIH SITUACIJ</w:t>
            </w:r>
          </w:p>
        </w:tc>
      </w:tr>
      <w:tr w:rsidR="00233D7A" w:rsidRPr="00821723" w14:paraId="1B019295" w14:textId="77777777" w:rsidTr="006E33A7">
        <w:tc>
          <w:tcPr>
            <w:tcW w:w="1565" w:type="dxa"/>
            <w:vAlign w:val="center"/>
          </w:tcPr>
          <w:p w14:paraId="52EDD706" w14:textId="125343C2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bookmarkStart w:id="8" w:name="_Hlk184031080"/>
          </w:p>
        </w:tc>
        <w:tc>
          <w:tcPr>
            <w:tcW w:w="7224" w:type="dxa"/>
            <w:vAlign w:val="center"/>
          </w:tcPr>
          <w:p w14:paraId="095EF59F" w14:textId="15630213" w:rsidR="00233D7A" w:rsidRPr="0014540B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Cs/>
                <w:color w:val="FF0000"/>
                <w:szCs w:val="20"/>
                <w:lang w:val="sl-SI"/>
              </w:rPr>
            </w:pPr>
          </w:p>
        </w:tc>
      </w:tr>
      <w:tr w:rsidR="00233D7A" w:rsidRPr="00821723" w14:paraId="5604911E" w14:textId="77777777" w:rsidTr="009D3B2C">
        <w:tc>
          <w:tcPr>
            <w:tcW w:w="1565" w:type="dxa"/>
            <w:vAlign w:val="center"/>
          </w:tcPr>
          <w:p w14:paraId="3B9EA3B0" w14:textId="0F943FF2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>
              <w:rPr>
                <w:rFonts w:cs="Arial"/>
                <w:color w:val="000000" w:themeColor="text1"/>
                <w:szCs w:val="20"/>
                <w:lang w:val="sl-SI"/>
              </w:rPr>
              <w:t>12.45</w:t>
            </w:r>
            <w:r w:rsidR="002943B6" w:rsidRPr="002943B6">
              <w:rPr>
                <w:rFonts w:cs="Arial"/>
                <w:b/>
                <w:szCs w:val="20"/>
                <w:lang w:val="sl-SI"/>
              </w:rPr>
              <w:t>–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14.15</w:t>
            </w:r>
          </w:p>
        </w:tc>
        <w:tc>
          <w:tcPr>
            <w:tcW w:w="7224" w:type="dxa"/>
          </w:tcPr>
          <w:p w14:paraId="4FFA726D" w14:textId="033587EB" w:rsidR="00233D7A" w:rsidRPr="00345E4F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Cs/>
                <w:color w:val="70AD47" w:themeColor="accent6"/>
                <w:szCs w:val="20"/>
                <w:lang w:val="sl-SI"/>
              </w:rPr>
            </w:pPr>
            <w:r>
              <w:rPr>
                <w:b/>
                <w:bCs/>
                <w:lang w:val="sl-SI"/>
              </w:rPr>
              <w:t>Kraljestvo sodna dvorana ali kako (ob)vladati konfliktne situacije</w:t>
            </w:r>
          </w:p>
        </w:tc>
      </w:tr>
      <w:tr w:rsidR="00233D7A" w:rsidRPr="004346E4" w14:paraId="655CF447" w14:textId="77777777" w:rsidTr="009D3B2C">
        <w:tc>
          <w:tcPr>
            <w:tcW w:w="1565" w:type="dxa"/>
            <w:vAlign w:val="center"/>
          </w:tcPr>
          <w:p w14:paraId="08401DB8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</w:tcPr>
          <w:p w14:paraId="1EC0CBF3" w14:textId="5B457488" w:rsidR="00233D7A" w:rsidRPr="00345E4F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70AD47" w:themeColor="accent6"/>
                <w:szCs w:val="20"/>
                <w:lang w:val="sl-SI"/>
              </w:rPr>
            </w:pPr>
            <w:r>
              <w:rPr>
                <w:b/>
                <w:bCs/>
                <w:lang w:val="pl-PL"/>
              </w:rPr>
              <w:t xml:space="preserve">Snežna Krek, </w:t>
            </w:r>
            <w:r w:rsidRPr="003B0A89">
              <w:rPr>
                <w:lang w:val="pl-PL"/>
              </w:rPr>
              <w:t>univ. dipl. psih.</w:t>
            </w:r>
            <w:r>
              <w:rPr>
                <w:b/>
                <w:bCs/>
                <w:lang w:val="pl-PL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Cs w:val="20"/>
                <w:lang w:val="sl-SI"/>
              </w:rPr>
              <w:t xml:space="preserve"> </w:t>
            </w:r>
          </w:p>
        </w:tc>
      </w:tr>
      <w:bookmarkEnd w:id="8"/>
      <w:tr w:rsidR="00233D7A" w:rsidRPr="00FE658E" w14:paraId="28519D06" w14:textId="77777777" w:rsidTr="006E33A7">
        <w:tc>
          <w:tcPr>
            <w:tcW w:w="1565" w:type="dxa"/>
            <w:vAlign w:val="center"/>
          </w:tcPr>
          <w:p w14:paraId="39A28074" w14:textId="403D076E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</w:p>
        </w:tc>
        <w:tc>
          <w:tcPr>
            <w:tcW w:w="7224" w:type="dxa"/>
            <w:vAlign w:val="center"/>
          </w:tcPr>
          <w:p w14:paraId="2A26A9EC" w14:textId="2E461B48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</w:p>
        </w:tc>
      </w:tr>
      <w:tr w:rsidR="00233D7A" w:rsidRPr="001A77E9" w14:paraId="6C0B3647" w14:textId="77777777" w:rsidTr="006E33A7">
        <w:tc>
          <w:tcPr>
            <w:tcW w:w="1565" w:type="dxa"/>
            <w:vAlign w:val="center"/>
          </w:tcPr>
          <w:p w14:paraId="6C84362B" w14:textId="340B9539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r w:rsidRPr="00FE658E">
              <w:rPr>
                <w:rFonts w:cs="Arial"/>
                <w:color w:val="000000" w:themeColor="text1"/>
                <w:szCs w:val="20"/>
                <w:lang w:val="sl-SI" w:eastAsia="en-US"/>
              </w:rPr>
              <w:t>1</w:t>
            </w:r>
            <w:r>
              <w:rPr>
                <w:rFonts w:cs="Arial"/>
                <w:color w:val="000000" w:themeColor="text1"/>
                <w:szCs w:val="20"/>
                <w:lang w:val="sl-SI" w:eastAsia="en-US"/>
              </w:rPr>
              <w:t>4.15</w:t>
            </w:r>
          </w:p>
        </w:tc>
        <w:tc>
          <w:tcPr>
            <w:tcW w:w="7224" w:type="dxa"/>
            <w:vAlign w:val="center"/>
          </w:tcPr>
          <w:p w14:paraId="271F04E3" w14:textId="77777777" w:rsidR="00233D7A" w:rsidRPr="00FE658E" w:rsidRDefault="00233D7A" w:rsidP="00742E52">
            <w:pPr>
              <w:tabs>
                <w:tab w:val="left" w:pos="1276"/>
              </w:tabs>
              <w:spacing w:line="260" w:lineRule="exact"/>
              <w:jc w:val="both"/>
              <w:rPr>
                <w:rFonts w:cs="Arial"/>
                <w:b/>
                <w:color w:val="000000" w:themeColor="text1"/>
                <w:szCs w:val="20"/>
                <w:lang w:val="sl-SI"/>
              </w:rPr>
            </w:pPr>
            <w:r w:rsidRPr="00344604">
              <w:rPr>
                <w:rFonts w:cs="Arial"/>
                <w:color w:val="000000" w:themeColor="text1"/>
                <w:szCs w:val="20"/>
                <w:lang w:val="sl-SI"/>
              </w:rPr>
              <w:t>Zaključek izobraževanja</w:t>
            </w:r>
          </w:p>
        </w:tc>
      </w:tr>
      <w:bookmarkEnd w:id="7"/>
    </w:tbl>
    <w:p w14:paraId="487F967F" w14:textId="77777777" w:rsidR="00D374DB" w:rsidRDefault="00D374DB" w:rsidP="00742E52">
      <w:pPr>
        <w:tabs>
          <w:tab w:val="left" w:pos="1276"/>
        </w:tabs>
        <w:spacing w:line="240" w:lineRule="atLeast"/>
        <w:jc w:val="both"/>
        <w:rPr>
          <w:rFonts w:cs="Arial"/>
          <w:bCs/>
          <w:color w:val="000000" w:themeColor="text1"/>
          <w:szCs w:val="20"/>
          <w:lang w:val="sl-SI"/>
        </w:rPr>
      </w:pPr>
    </w:p>
    <w:p w14:paraId="2498EA2A" w14:textId="77777777" w:rsidR="00662B85" w:rsidRDefault="00662B85" w:rsidP="00742E52">
      <w:pPr>
        <w:tabs>
          <w:tab w:val="left" w:pos="1276"/>
        </w:tabs>
        <w:spacing w:line="240" w:lineRule="atLeast"/>
        <w:jc w:val="both"/>
        <w:rPr>
          <w:rFonts w:cs="Arial"/>
          <w:bCs/>
          <w:color w:val="000000" w:themeColor="text1"/>
          <w:szCs w:val="20"/>
          <w:lang w:val="sl-SI"/>
        </w:rPr>
      </w:pPr>
    </w:p>
    <w:p w14:paraId="766FD0D8" w14:textId="77777777" w:rsidR="00E472D5" w:rsidRDefault="00E472D5" w:rsidP="00742E52">
      <w:pPr>
        <w:tabs>
          <w:tab w:val="left" w:pos="1276"/>
        </w:tabs>
        <w:spacing w:line="240" w:lineRule="atLeast"/>
        <w:jc w:val="both"/>
        <w:rPr>
          <w:rFonts w:cs="Arial"/>
          <w:bCs/>
          <w:color w:val="000000" w:themeColor="text1"/>
          <w:szCs w:val="20"/>
          <w:lang w:val="sl-SI"/>
        </w:rPr>
      </w:pPr>
    </w:p>
    <w:p w14:paraId="71A24636" w14:textId="77777777" w:rsidR="00E472D5" w:rsidRDefault="00E472D5" w:rsidP="00742E52">
      <w:pPr>
        <w:tabs>
          <w:tab w:val="left" w:pos="1276"/>
        </w:tabs>
        <w:spacing w:line="240" w:lineRule="atLeast"/>
        <w:jc w:val="both"/>
        <w:rPr>
          <w:rFonts w:cs="Arial"/>
          <w:bCs/>
          <w:color w:val="000000" w:themeColor="text1"/>
          <w:szCs w:val="20"/>
          <w:lang w:val="sl-SI"/>
        </w:rPr>
      </w:pPr>
    </w:p>
    <w:p w14:paraId="42C91ABB" w14:textId="77777777" w:rsidR="00E472D5" w:rsidRDefault="00E472D5" w:rsidP="00742E52">
      <w:pPr>
        <w:tabs>
          <w:tab w:val="left" w:pos="1276"/>
        </w:tabs>
        <w:spacing w:line="240" w:lineRule="atLeast"/>
        <w:jc w:val="both"/>
        <w:rPr>
          <w:rFonts w:cs="Arial"/>
          <w:bCs/>
          <w:color w:val="000000" w:themeColor="text1"/>
          <w:szCs w:val="20"/>
          <w:lang w:val="sl-SI"/>
        </w:rPr>
      </w:pPr>
    </w:p>
    <w:p w14:paraId="231CF634" w14:textId="77777777" w:rsidR="00662B85" w:rsidRPr="00662B85" w:rsidRDefault="00662B85" w:rsidP="00742E52">
      <w:pPr>
        <w:tabs>
          <w:tab w:val="left" w:pos="1276"/>
        </w:tabs>
        <w:spacing w:line="240" w:lineRule="atLeast"/>
        <w:jc w:val="both"/>
        <w:rPr>
          <w:rFonts w:cs="Arial"/>
          <w:bCs/>
          <w:color w:val="000000" w:themeColor="text1"/>
          <w:szCs w:val="20"/>
          <w:lang w:val="it-IT"/>
        </w:rPr>
      </w:pPr>
    </w:p>
    <w:sectPr w:rsidR="00662B85" w:rsidRPr="00662B85" w:rsidSect="006E33A7">
      <w:headerReference w:type="default" r:id="rId8"/>
      <w:footerReference w:type="default" r:id="rId9"/>
      <w:headerReference w:type="first" r:id="rId10"/>
      <w:pgSz w:w="11900" w:h="16840" w:code="9"/>
      <w:pgMar w:top="1417" w:right="1417" w:bottom="1417" w:left="1417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0BCB" w14:textId="77777777" w:rsidR="004C7F8F" w:rsidRDefault="00994290">
      <w:pPr>
        <w:spacing w:line="240" w:lineRule="auto"/>
      </w:pPr>
      <w:r>
        <w:separator/>
      </w:r>
    </w:p>
  </w:endnote>
  <w:endnote w:type="continuationSeparator" w:id="0">
    <w:p w14:paraId="3EAFB3F8" w14:textId="77777777" w:rsidR="004C7F8F" w:rsidRDefault="00994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E0A5" w14:textId="77777777" w:rsidR="00AC719F" w:rsidRDefault="00AC719F">
    <w:pPr>
      <w:pStyle w:val="Noga"/>
      <w:jc w:val="right"/>
    </w:pPr>
  </w:p>
  <w:p w14:paraId="4C74DDD3" w14:textId="77777777" w:rsidR="00AC719F" w:rsidRDefault="00AC719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3BE8" w14:textId="77777777" w:rsidR="004C7F8F" w:rsidRDefault="00994290">
      <w:pPr>
        <w:spacing w:line="240" w:lineRule="auto"/>
      </w:pPr>
      <w:r>
        <w:separator/>
      </w:r>
    </w:p>
  </w:footnote>
  <w:footnote w:type="continuationSeparator" w:id="0">
    <w:p w14:paraId="1E570B12" w14:textId="77777777" w:rsidR="004C7F8F" w:rsidRDefault="009942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F260" w14:textId="77777777" w:rsidR="00AC719F" w:rsidRPr="00110CBD" w:rsidRDefault="00AC719F" w:rsidP="006E2D95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CCA1" w14:textId="2745B076" w:rsidR="00476F35" w:rsidRPr="004A38AA" w:rsidRDefault="00073C42" w:rsidP="006E2D95">
    <w:pPr>
      <w:pStyle w:val="Glava"/>
      <w:tabs>
        <w:tab w:val="clear" w:pos="4320"/>
        <w:tab w:val="clear" w:pos="8640"/>
        <w:tab w:val="left" w:pos="5112"/>
      </w:tabs>
      <w:spacing w:line="240" w:lineRule="auto"/>
      <w:ind w:left="-113"/>
      <w:jc w:val="both"/>
      <w:rPr>
        <w:sz w:val="16"/>
        <w:szCs w:val="16"/>
        <w:lang w:val="sl-SI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C2E9E51" wp14:editId="378F63E1">
          <wp:simplePos x="0" y="0"/>
          <wp:positionH relativeFrom="page">
            <wp:posOffset>394335</wp:posOffset>
          </wp:positionH>
          <wp:positionV relativeFrom="topMargin">
            <wp:align>bottom</wp:align>
          </wp:positionV>
          <wp:extent cx="3000375" cy="622300"/>
          <wp:effectExtent l="19050" t="19050" r="28575" b="25400"/>
          <wp:wrapTight wrapText="bothSides">
            <wp:wrapPolygon edited="0">
              <wp:start x="-137" y="-661"/>
              <wp:lineTo x="-137" y="21820"/>
              <wp:lineTo x="21669" y="21820"/>
              <wp:lineTo x="21669" y="-661"/>
              <wp:lineTo x="-137" y="-661"/>
            </wp:wrapPolygon>
          </wp:wrapTight>
          <wp:docPr id="3" name="Slika 3" descr="0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65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22" t="47874" r="17353" b="-1"/>
                  <a:stretch/>
                </pic:blipFill>
                <pic:spPr bwMode="auto">
                  <a:xfrm>
                    <a:off x="0" y="0"/>
                    <a:ext cx="3000375" cy="622300"/>
                  </a:xfrm>
                  <a:prstGeom prst="rect">
                    <a:avLst/>
                  </a:prstGeom>
                  <a:noFill/>
                  <a:ln w="9525" cap="flat" cmpd="sng" algn="ctr">
                    <a:solidFill>
                      <a:schemeClr val="bg1"/>
                    </a:solidFill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B74"/>
    <w:multiLevelType w:val="hybridMultilevel"/>
    <w:tmpl w:val="1148486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9505C8"/>
    <w:multiLevelType w:val="hybridMultilevel"/>
    <w:tmpl w:val="11484866"/>
    <w:lvl w:ilvl="0" w:tplc="FFFFFFFF">
      <w:start w:val="1"/>
      <w:numFmt w:val="decimal"/>
      <w:lvlText w:val="%1."/>
      <w:lvlJc w:val="left"/>
      <w:pPr>
        <w:ind w:left="-648" w:hanging="360"/>
      </w:pPr>
    </w:lvl>
    <w:lvl w:ilvl="1" w:tplc="FFFFFFFF" w:tentative="1">
      <w:start w:val="1"/>
      <w:numFmt w:val="lowerLetter"/>
      <w:lvlText w:val="%2."/>
      <w:lvlJc w:val="left"/>
      <w:pPr>
        <w:ind w:left="72" w:hanging="360"/>
      </w:pPr>
    </w:lvl>
    <w:lvl w:ilvl="2" w:tplc="FFFFFFFF" w:tentative="1">
      <w:start w:val="1"/>
      <w:numFmt w:val="lowerRoman"/>
      <w:lvlText w:val="%3."/>
      <w:lvlJc w:val="right"/>
      <w:pPr>
        <w:ind w:left="792" w:hanging="180"/>
      </w:pPr>
    </w:lvl>
    <w:lvl w:ilvl="3" w:tplc="FFFFFFFF" w:tentative="1">
      <w:start w:val="1"/>
      <w:numFmt w:val="decimal"/>
      <w:lvlText w:val="%4."/>
      <w:lvlJc w:val="left"/>
      <w:pPr>
        <w:ind w:left="1512" w:hanging="360"/>
      </w:pPr>
    </w:lvl>
    <w:lvl w:ilvl="4" w:tplc="FFFFFFFF" w:tentative="1">
      <w:start w:val="1"/>
      <w:numFmt w:val="lowerLetter"/>
      <w:lvlText w:val="%5."/>
      <w:lvlJc w:val="left"/>
      <w:pPr>
        <w:ind w:left="2232" w:hanging="360"/>
      </w:pPr>
    </w:lvl>
    <w:lvl w:ilvl="5" w:tplc="FFFFFFFF" w:tentative="1">
      <w:start w:val="1"/>
      <w:numFmt w:val="lowerRoman"/>
      <w:lvlText w:val="%6."/>
      <w:lvlJc w:val="right"/>
      <w:pPr>
        <w:ind w:left="2952" w:hanging="180"/>
      </w:pPr>
    </w:lvl>
    <w:lvl w:ilvl="6" w:tplc="FFFFFFFF" w:tentative="1">
      <w:start w:val="1"/>
      <w:numFmt w:val="decimal"/>
      <w:lvlText w:val="%7."/>
      <w:lvlJc w:val="left"/>
      <w:pPr>
        <w:ind w:left="3672" w:hanging="360"/>
      </w:pPr>
    </w:lvl>
    <w:lvl w:ilvl="7" w:tplc="FFFFFFFF" w:tentative="1">
      <w:start w:val="1"/>
      <w:numFmt w:val="lowerLetter"/>
      <w:lvlText w:val="%8."/>
      <w:lvlJc w:val="left"/>
      <w:pPr>
        <w:ind w:left="4392" w:hanging="360"/>
      </w:pPr>
    </w:lvl>
    <w:lvl w:ilvl="8" w:tplc="FFFFFFFF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2" w15:restartNumberingAfterBreak="0">
    <w:nsid w:val="2E8C6F16"/>
    <w:multiLevelType w:val="hybridMultilevel"/>
    <w:tmpl w:val="EE34C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55187"/>
    <w:multiLevelType w:val="hybridMultilevel"/>
    <w:tmpl w:val="4ED474CA"/>
    <w:lvl w:ilvl="0" w:tplc="6F2C447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92" w:hanging="360"/>
      </w:pPr>
    </w:lvl>
    <w:lvl w:ilvl="2" w:tplc="0424001B" w:tentative="1">
      <w:start w:val="1"/>
      <w:numFmt w:val="lowerRoman"/>
      <w:lvlText w:val="%3."/>
      <w:lvlJc w:val="right"/>
      <w:pPr>
        <w:ind w:left="2412" w:hanging="180"/>
      </w:pPr>
    </w:lvl>
    <w:lvl w:ilvl="3" w:tplc="0424000F" w:tentative="1">
      <w:start w:val="1"/>
      <w:numFmt w:val="decimal"/>
      <w:lvlText w:val="%4."/>
      <w:lvlJc w:val="left"/>
      <w:pPr>
        <w:ind w:left="3132" w:hanging="360"/>
      </w:pPr>
    </w:lvl>
    <w:lvl w:ilvl="4" w:tplc="04240019" w:tentative="1">
      <w:start w:val="1"/>
      <w:numFmt w:val="lowerLetter"/>
      <w:lvlText w:val="%5."/>
      <w:lvlJc w:val="left"/>
      <w:pPr>
        <w:ind w:left="3852" w:hanging="360"/>
      </w:pPr>
    </w:lvl>
    <w:lvl w:ilvl="5" w:tplc="0424001B" w:tentative="1">
      <w:start w:val="1"/>
      <w:numFmt w:val="lowerRoman"/>
      <w:lvlText w:val="%6."/>
      <w:lvlJc w:val="right"/>
      <w:pPr>
        <w:ind w:left="4572" w:hanging="180"/>
      </w:pPr>
    </w:lvl>
    <w:lvl w:ilvl="6" w:tplc="0424000F" w:tentative="1">
      <w:start w:val="1"/>
      <w:numFmt w:val="decimal"/>
      <w:lvlText w:val="%7."/>
      <w:lvlJc w:val="left"/>
      <w:pPr>
        <w:ind w:left="5292" w:hanging="360"/>
      </w:pPr>
    </w:lvl>
    <w:lvl w:ilvl="7" w:tplc="04240019" w:tentative="1">
      <w:start w:val="1"/>
      <w:numFmt w:val="lowerLetter"/>
      <w:lvlText w:val="%8."/>
      <w:lvlJc w:val="left"/>
      <w:pPr>
        <w:ind w:left="6012" w:hanging="360"/>
      </w:pPr>
    </w:lvl>
    <w:lvl w:ilvl="8" w:tplc="0424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 w15:restartNumberingAfterBreak="0">
    <w:nsid w:val="3C8C157B"/>
    <w:multiLevelType w:val="hybridMultilevel"/>
    <w:tmpl w:val="11484866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B60B2D"/>
    <w:multiLevelType w:val="hybridMultilevel"/>
    <w:tmpl w:val="F3BE87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A78E6"/>
    <w:multiLevelType w:val="hybridMultilevel"/>
    <w:tmpl w:val="11484866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71008752">
    <w:abstractNumId w:val="5"/>
  </w:num>
  <w:num w:numId="2" w16cid:durableId="16665186">
    <w:abstractNumId w:val="2"/>
  </w:num>
  <w:num w:numId="3" w16cid:durableId="1723403279">
    <w:abstractNumId w:val="4"/>
  </w:num>
  <w:num w:numId="4" w16cid:durableId="1583099634">
    <w:abstractNumId w:val="0"/>
  </w:num>
  <w:num w:numId="5" w16cid:durableId="1583759729">
    <w:abstractNumId w:val="6"/>
  </w:num>
  <w:num w:numId="6" w16cid:durableId="226497971">
    <w:abstractNumId w:val="3"/>
  </w:num>
  <w:num w:numId="7" w16cid:durableId="1948080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0C"/>
    <w:rsid w:val="00000CB7"/>
    <w:rsid w:val="00027066"/>
    <w:rsid w:val="00040CBC"/>
    <w:rsid w:val="0004100B"/>
    <w:rsid w:val="00041AF0"/>
    <w:rsid w:val="000424B1"/>
    <w:rsid w:val="00046FEB"/>
    <w:rsid w:val="00073C42"/>
    <w:rsid w:val="0007443C"/>
    <w:rsid w:val="0008313F"/>
    <w:rsid w:val="00090723"/>
    <w:rsid w:val="000932E0"/>
    <w:rsid w:val="000A1D5C"/>
    <w:rsid w:val="000B1D3B"/>
    <w:rsid w:val="000C23C7"/>
    <w:rsid w:val="000E7702"/>
    <w:rsid w:val="000F5D64"/>
    <w:rsid w:val="000F7ECB"/>
    <w:rsid w:val="0010184F"/>
    <w:rsid w:val="00132959"/>
    <w:rsid w:val="0013344B"/>
    <w:rsid w:val="001357FE"/>
    <w:rsid w:val="00141431"/>
    <w:rsid w:val="0014540B"/>
    <w:rsid w:val="0015629D"/>
    <w:rsid w:val="001565C3"/>
    <w:rsid w:val="00173C82"/>
    <w:rsid w:val="00181EFB"/>
    <w:rsid w:val="0018618D"/>
    <w:rsid w:val="0019665F"/>
    <w:rsid w:val="00196922"/>
    <w:rsid w:val="001A023B"/>
    <w:rsid w:val="001A6E57"/>
    <w:rsid w:val="001A77E9"/>
    <w:rsid w:val="001B79FC"/>
    <w:rsid w:val="001C65D7"/>
    <w:rsid w:val="001D1201"/>
    <w:rsid w:val="001E4C6D"/>
    <w:rsid w:val="00222761"/>
    <w:rsid w:val="00233D7A"/>
    <w:rsid w:val="00243707"/>
    <w:rsid w:val="002853FA"/>
    <w:rsid w:val="00285BA0"/>
    <w:rsid w:val="00292CB9"/>
    <w:rsid w:val="00294333"/>
    <w:rsid w:val="002943B6"/>
    <w:rsid w:val="00294567"/>
    <w:rsid w:val="00296888"/>
    <w:rsid w:val="002B31E4"/>
    <w:rsid w:val="002B7023"/>
    <w:rsid w:val="002B726A"/>
    <w:rsid w:val="002B7BDB"/>
    <w:rsid w:val="002C49FC"/>
    <w:rsid w:val="002C7B3F"/>
    <w:rsid w:val="002D1F8B"/>
    <w:rsid w:val="002E47E4"/>
    <w:rsid w:val="00305D63"/>
    <w:rsid w:val="00311C3E"/>
    <w:rsid w:val="00312647"/>
    <w:rsid w:val="0032594B"/>
    <w:rsid w:val="00331E2B"/>
    <w:rsid w:val="00335C11"/>
    <w:rsid w:val="00337DD5"/>
    <w:rsid w:val="00344604"/>
    <w:rsid w:val="00345E4F"/>
    <w:rsid w:val="00356CD4"/>
    <w:rsid w:val="003629B7"/>
    <w:rsid w:val="003721B1"/>
    <w:rsid w:val="003730E4"/>
    <w:rsid w:val="00385B96"/>
    <w:rsid w:val="00385C12"/>
    <w:rsid w:val="003916B6"/>
    <w:rsid w:val="00391D5E"/>
    <w:rsid w:val="003935D7"/>
    <w:rsid w:val="003A6860"/>
    <w:rsid w:val="003B0A89"/>
    <w:rsid w:val="003D27C1"/>
    <w:rsid w:val="003F34EA"/>
    <w:rsid w:val="00400F44"/>
    <w:rsid w:val="00414841"/>
    <w:rsid w:val="00423F40"/>
    <w:rsid w:val="00431CFB"/>
    <w:rsid w:val="004346E4"/>
    <w:rsid w:val="004629F8"/>
    <w:rsid w:val="00476F35"/>
    <w:rsid w:val="00482E08"/>
    <w:rsid w:val="00483D27"/>
    <w:rsid w:val="00497A21"/>
    <w:rsid w:val="004A272A"/>
    <w:rsid w:val="004C7F8F"/>
    <w:rsid w:val="004D5AAA"/>
    <w:rsid w:val="004F5689"/>
    <w:rsid w:val="005126D1"/>
    <w:rsid w:val="00535136"/>
    <w:rsid w:val="00565070"/>
    <w:rsid w:val="005705CA"/>
    <w:rsid w:val="0058359B"/>
    <w:rsid w:val="00597AC0"/>
    <w:rsid w:val="005A0ACE"/>
    <w:rsid w:val="005E1E6A"/>
    <w:rsid w:val="005E66BA"/>
    <w:rsid w:val="006066F3"/>
    <w:rsid w:val="00620BD7"/>
    <w:rsid w:val="006210B9"/>
    <w:rsid w:val="00622D82"/>
    <w:rsid w:val="00637CFF"/>
    <w:rsid w:val="00662835"/>
    <w:rsid w:val="00662B54"/>
    <w:rsid w:val="00662B85"/>
    <w:rsid w:val="0068564A"/>
    <w:rsid w:val="00686A80"/>
    <w:rsid w:val="00692681"/>
    <w:rsid w:val="00694818"/>
    <w:rsid w:val="00694CF8"/>
    <w:rsid w:val="006A543D"/>
    <w:rsid w:val="006A6BC8"/>
    <w:rsid w:val="006D3365"/>
    <w:rsid w:val="006D4342"/>
    <w:rsid w:val="006E33A7"/>
    <w:rsid w:val="006E55E1"/>
    <w:rsid w:val="006F1A7E"/>
    <w:rsid w:val="006F310C"/>
    <w:rsid w:val="00703B02"/>
    <w:rsid w:val="0070500D"/>
    <w:rsid w:val="00720AB5"/>
    <w:rsid w:val="0072308E"/>
    <w:rsid w:val="00723F67"/>
    <w:rsid w:val="00732E34"/>
    <w:rsid w:val="00742E52"/>
    <w:rsid w:val="0075068B"/>
    <w:rsid w:val="007510D5"/>
    <w:rsid w:val="007525E6"/>
    <w:rsid w:val="00763306"/>
    <w:rsid w:val="00765BD0"/>
    <w:rsid w:val="007665DD"/>
    <w:rsid w:val="00782C69"/>
    <w:rsid w:val="007841DB"/>
    <w:rsid w:val="00785F64"/>
    <w:rsid w:val="00796167"/>
    <w:rsid w:val="007C7CAF"/>
    <w:rsid w:val="00803F41"/>
    <w:rsid w:val="00814B25"/>
    <w:rsid w:val="00821723"/>
    <w:rsid w:val="00825F96"/>
    <w:rsid w:val="00825FCA"/>
    <w:rsid w:val="00832E61"/>
    <w:rsid w:val="0083488E"/>
    <w:rsid w:val="00837A1A"/>
    <w:rsid w:val="008462AD"/>
    <w:rsid w:val="008552A9"/>
    <w:rsid w:val="008622A9"/>
    <w:rsid w:val="00886EAB"/>
    <w:rsid w:val="00891CB1"/>
    <w:rsid w:val="008B03D3"/>
    <w:rsid w:val="008B616C"/>
    <w:rsid w:val="008F0722"/>
    <w:rsid w:val="00901965"/>
    <w:rsid w:val="009049EB"/>
    <w:rsid w:val="00910529"/>
    <w:rsid w:val="00922113"/>
    <w:rsid w:val="00924920"/>
    <w:rsid w:val="009274E1"/>
    <w:rsid w:val="00967AEF"/>
    <w:rsid w:val="009753F0"/>
    <w:rsid w:val="00994290"/>
    <w:rsid w:val="009A67C7"/>
    <w:rsid w:val="009B067C"/>
    <w:rsid w:val="009D7E86"/>
    <w:rsid w:val="009F2A54"/>
    <w:rsid w:val="009F7C0D"/>
    <w:rsid w:val="00A04024"/>
    <w:rsid w:val="00A06F3F"/>
    <w:rsid w:val="00A141BF"/>
    <w:rsid w:val="00A25642"/>
    <w:rsid w:val="00A33C6B"/>
    <w:rsid w:val="00A42644"/>
    <w:rsid w:val="00A542CD"/>
    <w:rsid w:val="00A5665E"/>
    <w:rsid w:val="00A75C49"/>
    <w:rsid w:val="00A9058F"/>
    <w:rsid w:val="00A9078C"/>
    <w:rsid w:val="00A92B34"/>
    <w:rsid w:val="00AB5583"/>
    <w:rsid w:val="00AB62A7"/>
    <w:rsid w:val="00AC12B0"/>
    <w:rsid w:val="00AC719F"/>
    <w:rsid w:val="00AC76C9"/>
    <w:rsid w:val="00AD1B50"/>
    <w:rsid w:val="00AF2E4A"/>
    <w:rsid w:val="00AF3FA0"/>
    <w:rsid w:val="00B008BD"/>
    <w:rsid w:val="00B11C58"/>
    <w:rsid w:val="00B90DAA"/>
    <w:rsid w:val="00B94623"/>
    <w:rsid w:val="00B96EF9"/>
    <w:rsid w:val="00BA64D1"/>
    <w:rsid w:val="00BF0654"/>
    <w:rsid w:val="00BF5D64"/>
    <w:rsid w:val="00C02ABE"/>
    <w:rsid w:val="00C3623A"/>
    <w:rsid w:val="00C74355"/>
    <w:rsid w:val="00C84B08"/>
    <w:rsid w:val="00C8538D"/>
    <w:rsid w:val="00C91780"/>
    <w:rsid w:val="00CC4E6A"/>
    <w:rsid w:val="00CD77FC"/>
    <w:rsid w:val="00D01186"/>
    <w:rsid w:val="00D2520B"/>
    <w:rsid w:val="00D3728F"/>
    <w:rsid w:val="00D374DB"/>
    <w:rsid w:val="00D46C47"/>
    <w:rsid w:val="00D5146C"/>
    <w:rsid w:val="00D55AD0"/>
    <w:rsid w:val="00D70C76"/>
    <w:rsid w:val="00D739E5"/>
    <w:rsid w:val="00D765E5"/>
    <w:rsid w:val="00D929F5"/>
    <w:rsid w:val="00D93A73"/>
    <w:rsid w:val="00DA0840"/>
    <w:rsid w:val="00DB3AA5"/>
    <w:rsid w:val="00DC26FD"/>
    <w:rsid w:val="00DC3BCB"/>
    <w:rsid w:val="00DE1EFF"/>
    <w:rsid w:val="00DE5A04"/>
    <w:rsid w:val="00DF6020"/>
    <w:rsid w:val="00E00071"/>
    <w:rsid w:val="00E04943"/>
    <w:rsid w:val="00E17180"/>
    <w:rsid w:val="00E21D4C"/>
    <w:rsid w:val="00E23C85"/>
    <w:rsid w:val="00E45577"/>
    <w:rsid w:val="00E472D5"/>
    <w:rsid w:val="00E612E6"/>
    <w:rsid w:val="00E6168D"/>
    <w:rsid w:val="00E61699"/>
    <w:rsid w:val="00E66DA0"/>
    <w:rsid w:val="00E7252E"/>
    <w:rsid w:val="00E84618"/>
    <w:rsid w:val="00E8598E"/>
    <w:rsid w:val="00EA62D8"/>
    <w:rsid w:val="00EB0A65"/>
    <w:rsid w:val="00EB4AA5"/>
    <w:rsid w:val="00EB51D1"/>
    <w:rsid w:val="00EB7BB8"/>
    <w:rsid w:val="00EC424C"/>
    <w:rsid w:val="00EC7A71"/>
    <w:rsid w:val="00ED5D74"/>
    <w:rsid w:val="00EE2E48"/>
    <w:rsid w:val="00F1585B"/>
    <w:rsid w:val="00F20B82"/>
    <w:rsid w:val="00F31216"/>
    <w:rsid w:val="00F32BF3"/>
    <w:rsid w:val="00F62235"/>
    <w:rsid w:val="00F77498"/>
    <w:rsid w:val="00F85A6C"/>
    <w:rsid w:val="00F8617F"/>
    <w:rsid w:val="00F97AE6"/>
    <w:rsid w:val="00FB25BF"/>
    <w:rsid w:val="00FB4862"/>
    <w:rsid w:val="00FB7432"/>
    <w:rsid w:val="00FD3B9F"/>
    <w:rsid w:val="00FD7283"/>
    <w:rsid w:val="00FE0089"/>
    <w:rsid w:val="00FE658E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55C47409"/>
  <w15:chartTrackingRefBased/>
  <w15:docId w15:val="{A799B8CA-EF1D-4098-B82B-D59C87A9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310C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B70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3730E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F310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6F310C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6F310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6F310C"/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rsid w:val="006F3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uiPriority w:val="99"/>
    <w:unhideWhenUsed/>
    <w:rsid w:val="006F310C"/>
    <w:pPr>
      <w:spacing w:line="240" w:lineRule="auto"/>
    </w:pPr>
    <w:rPr>
      <w:rFonts w:ascii="Calibri" w:eastAsiaTheme="minorHAnsi" w:hAnsi="Calibri" w:cstheme="minorBidi"/>
      <w:sz w:val="22"/>
      <w:szCs w:val="21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F310C"/>
    <w:rPr>
      <w:rFonts w:ascii="Calibri" w:hAnsi="Calibri"/>
      <w:szCs w:val="21"/>
    </w:rPr>
  </w:style>
  <w:style w:type="character" w:styleId="Pripombasklic">
    <w:name w:val="annotation reference"/>
    <w:basedOn w:val="Privzetapisavaodstavka"/>
    <w:uiPriority w:val="99"/>
    <w:semiHidden/>
    <w:unhideWhenUsed/>
    <w:rsid w:val="00C362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3623A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3623A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3623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3623A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C3623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Brezrazmikov">
    <w:name w:val="No Spacing"/>
    <w:uiPriority w:val="1"/>
    <w:qFormat/>
    <w:rsid w:val="00A04024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196922"/>
    <w:pPr>
      <w:ind w:left="720"/>
      <w:contextualSpacing/>
    </w:p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EB4AA5"/>
    <w:pPr>
      <w:spacing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EB4AA5"/>
    <w:rPr>
      <w:rFonts w:ascii="Arial" w:eastAsia="Times New Roman" w:hAnsi="Arial" w:cs="Times New Roman"/>
      <w:sz w:val="20"/>
      <w:szCs w:val="20"/>
      <w:lang w:val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EB4AA5"/>
    <w:rPr>
      <w:vertAlign w:val="superscript"/>
    </w:rPr>
  </w:style>
  <w:style w:type="character" w:styleId="Krepko">
    <w:name w:val="Strong"/>
    <w:basedOn w:val="Privzetapisavaodstavka"/>
    <w:uiPriority w:val="22"/>
    <w:qFormat/>
    <w:rsid w:val="00763306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rsid w:val="003730E4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Navaden1">
    <w:name w:val="Navaden1"/>
    <w:basedOn w:val="Navaden"/>
    <w:rsid w:val="003730E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730E4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2B70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Intenzivenpoudarek">
    <w:name w:val="Intense Emphasis"/>
    <w:basedOn w:val="Privzetapisavaodstavka"/>
    <w:uiPriority w:val="21"/>
    <w:qFormat/>
    <w:rsid w:val="00662B85"/>
    <w:rPr>
      <w:i/>
      <w:iCs/>
      <w:color w:val="4472C4" w:themeColor="accent1"/>
    </w:rPr>
  </w:style>
  <w:style w:type="paragraph" w:styleId="Navadensplet">
    <w:name w:val="Normal (Web)"/>
    <w:basedOn w:val="Navaden"/>
    <w:uiPriority w:val="99"/>
    <w:unhideWhenUsed/>
    <w:rsid w:val="00662B8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3D3D701-42BF-460C-AA3A-03A83FE9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Skubic (MP)</dc:creator>
  <cp:keywords/>
  <dc:description/>
  <cp:lastModifiedBy>Romana Košorok</cp:lastModifiedBy>
  <cp:revision>3</cp:revision>
  <cp:lastPrinted>2025-02-17T11:43:00Z</cp:lastPrinted>
  <dcterms:created xsi:type="dcterms:W3CDTF">2025-02-24T12:49:00Z</dcterms:created>
  <dcterms:modified xsi:type="dcterms:W3CDTF">2025-02-24T12:50:00Z</dcterms:modified>
</cp:coreProperties>
</file>